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C83" w:rsidRDefault="00232C83" w:rsidP="00030510">
      <w:pPr>
        <w:jc w:val="both"/>
        <w:rPr>
          <w:b/>
          <w:bCs/>
        </w:rPr>
      </w:pPr>
    </w:p>
    <w:tbl>
      <w:tblPr>
        <w:tblW w:w="10456" w:type="dxa"/>
        <w:tblCellMar>
          <w:left w:w="10" w:type="dxa"/>
          <w:right w:w="10" w:type="dxa"/>
        </w:tblCellMar>
        <w:tblLook w:val="0000" w:firstRow="0" w:lastRow="0" w:firstColumn="0" w:lastColumn="0" w:noHBand="0" w:noVBand="0"/>
      </w:tblPr>
      <w:tblGrid>
        <w:gridCol w:w="5098"/>
        <w:gridCol w:w="2694"/>
        <w:gridCol w:w="2664"/>
      </w:tblGrid>
      <w:tr w:rsidR="00232C83" w:rsidTr="00030510">
        <w:tc>
          <w:tcPr>
            <w:tcW w:w="5098" w:type="dxa"/>
            <w:shd w:val="clear" w:color="auto" w:fill="auto"/>
            <w:tcMar>
              <w:top w:w="0" w:type="dxa"/>
              <w:left w:w="108" w:type="dxa"/>
              <w:bottom w:w="0" w:type="dxa"/>
              <w:right w:w="108" w:type="dxa"/>
            </w:tcMar>
          </w:tcPr>
          <w:p w:rsidR="00232C83" w:rsidRDefault="0084632E" w:rsidP="00030510">
            <w:pPr>
              <w:spacing w:after="0" w:line="240" w:lineRule="auto"/>
              <w:jc w:val="both"/>
              <w:rPr>
                <w:b/>
                <w:bCs/>
                <w:color w:val="002060"/>
                <w:sz w:val="28"/>
                <w:szCs w:val="28"/>
              </w:rPr>
            </w:pPr>
            <w:r>
              <w:rPr>
                <w:b/>
                <w:bCs/>
                <w:color w:val="002060"/>
                <w:sz w:val="28"/>
                <w:szCs w:val="28"/>
              </w:rPr>
              <w:t xml:space="preserve">ОБЩЕРОССИЙСКАЯ ОБЩЕСТВЕННАЯ              </w:t>
            </w:r>
          </w:p>
          <w:p w:rsidR="00232C83" w:rsidRDefault="00030510" w:rsidP="00030510">
            <w:pPr>
              <w:spacing w:after="0" w:line="240" w:lineRule="auto"/>
              <w:jc w:val="both"/>
              <w:rPr>
                <w:b/>
                <w:bCs/>
                <w:color w:val="002060"/>
                <w:sz w:val="28"/>
                <w:szCs w:val="28"/>
              </w:rPr>
            </w:pPr>
            <w:r>
              <w:rPr>
                <w:b/>
                <w:bCs/>
                <w:color w:val="002060"/>
                <w:sz w:val="28"/>
                <w:szCs w:val="28"/>
              </w:rPr>
              <w:t xml:space="preserve">ОРГАНИЗАЦИЯ </w:t>
            </w:r>
            <w:r w:rsidR="0084632E">
              <w:rPr>
                <w:b/>
                <w:bCs/>
                <w:color w:val="002060"/>
                <w:sz w:val="28"/>
                <w:szCs w:val="28"/>
              </w:rPr>
              <w:t>«ФЕДЕРАЦИЯ НАСТОЛЬНЫХ</w:t>
            </w:r>
            <w:r>
              <w:rPr>
                <w:b/>
                <w:bCs/>
                <w:color w:val="002060"/>
                <w:sz w:val="28"/>
                <w:szCs w:val="28"/>
              </w:rPr>
              <w:t xml:space="preserve"> </w:t>
            </w:r>
            <w:r w:rsidR="0084632E">
              <w:rPr>
                <w:b/>
                <w:bCs/>
                <w:color w:val="002060"/>
                <w:sz w:val="28"/>
                <w:szCs w:val="28"/>
              </w:rPr>
              <w:t>СПОРТИВНЫХ ИГР РОССИИ» («ФНСИР»)</w:t>
            </w:r>
          </w:p>
          <w:p w:rsidR="00232C83" w:rsidRDefault="00232C83" w:rsidP="00030510">
            <w:pPr>
              <w:spacing w:after="0" w:line="240" w:lineRule="auto"/>
              <w:jc w:val="both"/>
              <w:rPr>
                <w:b/>
                <w:bCs/>
              </w:rPr>
            </w:pPr>
          </w:p>
        </w:tc>
        <w:tc>
          <w:tcPr>
            <w:tcW w:w="2694" w:type="dxa"/>
            <w:shd w:val="clear" w:color="auto" w:fill="auto"/>
            <w:tcMar>
              <w:top w:w="0" w:type="dxa"/>
              <w:left w:w="108" w:type="dxa"/>
              <w:bottom w:w="0" w:type="dxa"/>
              <w:right w:w="108" w:type="dxa"/>
            </w:tcMar>
          </w:tcPr>
          <w:p w:rsidR="00232C83" w:rsidRDefault="00232C83" w:rsidP="00030510">
            <w:pPr>
              <w:spacing w:after="0" w:line="240" w:lineRule="auto"/>
              <w:jc w:val="both"/>
              <w:rPr>
                <w:b/>
                <w:bCs/>
              </w:rPr>
            </w:pPr>
          </w:p>
          <w:p w:rsidR="00232C83" w:rsidRDefault="00232C83" w:rsidP="00030510">
            <w:pPr>
              <w:spacing w:after="0" w:line="240" w:lineRule="auto"/>
              <w:jc w:val="both"/>
              <w:rPr>
                <w:b/>
                <w:bCs/>
              </w:rPr>
            </w:pPr>
          </w:p>
          <w:p w:rsidR="00232C83" w:rsidRDefault="0084632E" w:rsidP="00030510">
            <w:pPr>
              <w:spacing w:after="0" w:line="240" w:lineRule="auto"/>
              <w:jc w:val="both"/>
              <w:rPr>
                <w:b/>
                <w:bCs/>
              </w:rPr>
            </w:pPr>
            <w:r>
              <w:rPr>
                <w:b/>
                <w:bCs/>
              </w:rPr>
              <w:t>Сайт: www.fnsir.ru</w:t>
            </w:r>
          </w:p>
          <w:p w:rsidR="00232C83" w:rsidRDefault="0084632E" w:rsidP="00030510">
            <w:pPr>
              <w:spacing w:after="0" w:line="240" w:lineRule="auto"/>
              <w:jc w:val="both"/>
              <w:rPr>
                <w:b/>
                <w:bCs/>
              </w:rPr>
            </w:pPr>
            <w:r>
              <w:rPr>
                <w:b/>
                <w:bCs/>
              </w:rPr>
              <w:t>E-mail: centrnovus@list.ru</w:t>
            </w:r>
          </w:p>
          <w:p w:rsidR="00232C83" w:rsidRDefault="0084632E" w:rsidP="00030510">
            <w:pPr>
              <w:spacing w:after="0" w:line="240" w:lineRule="auto"/>
              <w:jc w:val="both"/>
            </w:pPr>
            <w:r>
              <w:rPr>
                <w:b/>
                <w:bCs/>
              </w:rPr>
              <w:t>Тел</w:t>
            </w:r>
            <w:r>
              <w:rPr>
                <w:b/>
                <w:bCs/>
                <w:lang w:val="en-US"/>
              </w:rPr>
              <w:t>: +7(9</w:t>
            </w:r>
            <w:r>
              <w:rPr>
                <w:b/>
                <w:bCs/>
              </w:rPr>
              <w:t>31</w:t>
            </w:r>
            <w:r>
              <w:rPr>
                <w:b/>
                <w:bCs/>
                <w:lang w:val="en-US"/>
              </w:rPr>
              <w:t>)</w:t>
            </w:r>
            <w:r>
              <w:rPr>
                <w:b/>
                <w:bCs/>
              </w:rPr>
              <w:t>100</w:t>
            </w:r>
            <w:r>
              <w:rPr>
                <w:b/>
                <w:bCs/>
                <w:lang w:val="en-US"/>
              </w:rPr>
              <w:t xml:space="preserve"> </w:t>
            </w:r>
            <w:r>
              <w:rPr>
                <w:b/>
                <w:bCs/>
              </w:rPr>
              <w:t>70</w:t>
            </w:r>
            <w:r>
              <w:rPr>
                <w:b/>
                <w:bCs/>
                <w:lang w:val="en-US"/>
              </w:rPr>
              <w:t xml:space="preserve"> </w:t>
            </w:r>
            <w:r>
              <w:rPr>
                <w:b/>
                <w:bCs/>
              </w:rPr>
              <w:t>7</w:t>
            </w:r>
            <w:r>
              <w:rPr>
                <w:b/>
                <w:bCs/>
                <w:lang w:val="en-US"/>
              </w:rPr>
              <w:t>6</w:t>
            </w:r>
          </w:p>
          <w:p w:rsidR="00232C83" w:rsidRDefault="00232C83" w:rsidP="00030510">
            <w:pPr>
              <w:spacing w:after="0" w:line="240" w:lineRule="auto"/>
              <w:jc w:val="both"/>
              <w:rPr>
                <w:b/>
                <w:bCs/>
                <w:lang w:val="en-US"/>
              </w:rPr>
            </w:pPr>
          </w:p>
          <w:p w:rsidR="00232C83" w:rsidRDefault="00232C83" w:rsidP="00030510">
            <w:pPr>
              <w:spacing w:after="0" w:line="240" w:lineRule="auto"/>
              <w:jc w:val="both"/>
              <w:rPr>
                <w:b/>
                <w:bCs/>
                <w:lang w:val="en-US"/>
              </w:rPr>
            </w:pPr>
          </w:p>
          <w:p w:rsidR="00232C83" w:rsidRDefault="00232C83" w:rsidP="00030510">
            <w:pPr>
              <w:spacing w:after="0" w:line="240" w:lineRule="auto"/>
              <w:jc w:val="both"/>
              <w:rPr>
                <w:b/>
                <w:bCs/>
              </w:rPr>
            </w:pPr>
          </w:p>
        </w:tc>
        <w:tc>
          <w:tcPr>
            <w:tcW w:w="2664" w:type="dxa"/>
            <w:shd w:val="clear" w:color="auto" w:fill="auto"/>
            <w:tcMar>
              <w:top w:w="0" w:type="dxa"/>
              <w:left w:w="108" w:type="dxa"/>
              <w:bottom w:w="0" w:type="dxa"/>
              <w:right w:w="108" w:type="dxa"/>
            </w:tcMar>
          </w:tcPr>
          <w:p w:rsidR="00232C83" w:rsidRDefault="0084632E" w:rsidP="00030510">
            <w:pPr>
              <w:spacing w:after="0" w:line="240" w:lineRule="auto"/>
              <w:jc w:val="both"/>
            </w:pPr>
            <w:r>
              <w:rPr>
                <w:b/>
                <w:bCs/>
              </w:rPr>
              <w:t xml:space="preserve">      </w:t>
            </w:r>
            <w:r>
              <w:rPr>
                <w:b/>
                <w:bCs/>
                <w:noProof/>
                <w:lang w:eastAsia="ru-RU"/>
              </w:rPr>
              <w:drawing>
                <wp:inline distT="0" distB="0" distL="0" distR="0">
                  <wp:extent cx="1019894" cy="1019894"/>
                  <wp:effectExtent l="0" t="0" r="8806" b="8806"/>
                  <wp:docPr id="1"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19894" cy="1019894"/>
                          </a:xfrm>
                          <a:prstGeom prst="rect">
                            <a:avLst/>
                          </a:prstGeom>
                          <a:noFill/>
                          <a:ln>
                            <a:noFill/>
                            <a:prstDash/>
                          </a:ln>
                        </pic:spPr>
                      </pic:pic>
                    </a:graphicData>
                  </a:graphic>
                </wp:inline>
              </w:drawing>
            </w:r>
          </w:p>
        </w:tc>
      </w:tr>
    </w:tbl>
    <w:p w:rsidR="00232C83" w:rsidRDefault="0084632E" w:rsidP="00030510">
      <w:pPr>
        <w:spacing w:after="0"/>
        <w:jc w:val="both"/>
        <w:rPr>
          <w:b/>
          <w:bCs/>
          <w:lang w:val="en-US"/>
        </w:rPr>
      </w:pPr>
      <w:r>
        <w:rPr>
          <w:b/>
          <w:bCs/>
          <w:lang w:val="en-US"/>
        </w:rPr>
        <w:t xml:space="preserve">                                                                                                                                                                  All – Russian public</w:t>
      </w:r>
    </w:p>
    <w:p w:rsidR="00232C83" w:rsidRDefault="0084632E" w:rsidP="00030510">
      <w:pPr>
        <w:spacing w:after="0"/>
        <w:jc w:val="both"/>
        <w:rPr>
          <w:b/>
          <w:bCs/>
          <w:lang w:val="en-US"/>
        </w:rPr>
      </w:pPr>
      <w:r>
        <w:rPr>
          <w:b/>
          <w:bCs/>
          <w:lang w:val="en-US"/>
        </w:rPr>
        <w:t xml:space="preserve">                                                                                                                                                          organization «Russian Sport</w:t>
      </w:r>
    </w:p>
    <w:p w:rsidR="00232C83" w:rsidRPr="001B0559" w:rsidRDefault="0084632E" w:rsidP="00030510">
      <w:pPr>
        <w:spacing w:after="0"/>
        <w:jc w:val="both"/>
        <w:rPr>
          <w:lang w:val="en-US"/>
        </w:rPr>
      </w:pPr>
      <w:r w:rsidRPr="001B0559">
        <w:rPr>
          <w:b/>
          <w:bCs/>
          <w:lang w:val="en-US"/>
        </w:rPr>
        <w:t xml:space="preserve">                                                                                                                                                             </w:t>
      </w:r>
      <w:r>
        <w:rPr>
          <w:b/>
          <w:bCs/>
          <w:lang w:val="en-US"/>
        </w:rPr>
        <w:t>Board</w:t>
      </w:r>
      <w:r w:rsidRPr="001B0559">
        <w:rPr>
          <w:b/>
          <w:bCs/>
          <w:lang w:val="en-US"/>
        </w:rPr>
        <w:t xml:space="preserve"> </w:t>
      </w:r>
      <w:r>
        <w:rPr>
          <w:b/>
          <w:bCs/>
          <w:lang w:val="en-US"/>
        </w:rPr>
        <w:t>Games</w:t>
      </w:r>
      <w:r w:rsidRPr="001B0559">
        <w:rPr>
          <w:b/>
          <w:bCs/>
          <w:lang w:val="en-US"/>
        </w:rPr>
        <w:t xml:space="preserve"> </w:t>
      </w:r>
      <w:r>
        <w:rPr>
          <w:b/>
          <w:bCs/>
          <w:lang w:val="en-US"/>
        </w:rPr>
        <w:t>Federation</w:t>
      </w:r>
      <w:r w:rsidRPr="001B0559">
        <w:rPr>
          <w:b/>
          <w:bCs/>
          <w:lang w:val="en-US"/>
        </w:rPr>
        <w:t>»</w:t>
      </w:r>
    </w:p>
    <w:p w:rsidR="00232C83" w:rsidRPr="001B0559" w:rsidRDefault="00232C83" w:rsidP="00030510">
      <w:pPr>
        <w:jc w:val="both"/>
        <w:rPr>
          <w:b/>
          <w:bCs/>
          <w:lang w:val="en-US"/>
        </w:rPr>
      </w:pPr>
    </w:p>
    <w:p w:rsidR="00232C83" w:rsidRPr="00A45D1C" w:rsidRDefault="0084632E" w:rsidP="00030510">
      <w:pPr>
        <w:jc w:val="center"/>
        <w:rPr>
          <w:b/>
          <w:bCs/>
          <w:sz w:val="40"/>
          <w:szCs w:val="40"/>
          <w:lang w:val="en-US"/>
        </w:rPr>
      </w:pPr>
      <w:r>
        <w:rPr>
          <w:b/>
          <w:bCs/>
          <w:sz w:val="40"/>
          <w:szCs w:val="40"/>
        </w:rPr>
        <w:t>ПОЛОЖЕНИЕ</w:t>
      </w:r>
      <w:r w:rsidRPr="00A45D1C">
        <w:rPr>
          <w:b/>
          <w:bCs/>
          <w:sz w:val="40"/>
          <w:szCs w:val="40"/>
          <w:lang w:val="en-US"/>
        </w:rPr>
        <w:t xml:space="preserve"> </w:t>
      </w:r>
      <w:r>
        <w:rPr>
          <w:b/>
          <w:bCs/>
          <w:sz w:val="40"/>
          <w:szCs w:val="40"/>
        </w:rPr>
        <w:t>О</w:t>
      </w:r>
      <w:r w:rsidRPr="00A45D1C">
        <w:rPr>
          <w:b/>
          <w:bCs/>
          <w:sz w:val="40"/>
          <w:szCs w:val="40"/>
          <w:lang w:val="en-US"/>
        </w:rPr>
        <w:t xml:space="preserve"> </w:t>
      </w:r>
      <w:r>
        <w:rPr>
          <w:b/>
          <w:bCs/>
          <w:sz w:val="40"/>
          <w:szCs w:val="40"/>
        </w:rPr>
        <w:t>ПРОВЕДЕНИИ</w:t>
      </w:r>
      <w:r w:rsidRPr="00A45D1C">
        <w:rPr>
          <w:b/>
          <w:bCs/>
          <w:sz w:val="40"/>
          <w:szCs w:val="40"/>
          <w:lang w:val="en-US"/>
        </w:rPr>
        <w:t xml:space="preserve"> </w:t>
      </w:r>
      <w:r>
        <w:rPr>
          <w:b/>
          <w:bCs/>
          <w:sz w:val="40"/>
          <w:szCs w:val="40"/>
        </w:rPr>
        <w:t>ОНЛАЙН</w:t>
      </w:r>
      <w:r w:rsidRPr="00A45D1C">
        <w:rPr>
          <w:b/>
          <w:bCs/>
          <w:sz w:val="40"/>
          <w:szCs w:val="40"/>
          <w:lang w:val="en-US"/>
        </w:rPr>
        <w:t>-</w:t>
      </w:r>
      <w:r>
        <w:rPr>
          <w:b/>
          <w:bCs/>
          <w:sz w:val="40"/>
          <w:szCs w:val="40"/>
        </w:rPr>
        <w:t>ЧЕМПИОНАТА</w:t>
      </w:r>
      <w:r w:rsidRPr="00A45D1C">
        <w:rPr>
          <w:b/>
          <w:bCs/>
          <w:sz w:val="40"/>
          <w:szCs w:val="40"/>
          <w:lang w:val="en-US"/>
        </w:rPr>
        <w:t xml:space="preserve"> </w:t>
      </w:r>
      <w:r>
        <w:rPr>
          <w:b/>
          <w:bCs/>
          <w:sz w:val="40"/>
          <w:szCs w:val="40"/>
        </w:rPr>
        <w:t>ФНСИР</w:t>
      </w:r>
      <w:r w:rsidRPr="00A45D1C">
        <w:rPr>
          <w:b/>
          <w:bCs/>
          <w:sz w:val="40"/>
          <w:szCs w:val="40"/>
          <w:lang w:val="en-US"/>
        </w:rPr>
        <w:t xml:space="preserve"> </w:t>
      </w:r>
      <w:r>
        <w:rPr>
          <w:b/>
          <w:bCs/>
          <w:sz w:val="40"/>
          <w:szCs w:val="40"/>
        </w:rPr>
        <w:t>ПО</w:t>
      </w:r>
      <w:r w:rsidRPr="00A45D1C">
        <w:rPr>
          <w:b/>
          <w:bCs/>
          <w:sz w:val="40"/>
          <w:szCs w:val="40"/>
          <w:lang w:val="en-US"/>
        </w:rPr>
        <w:t xml:space="preserve"> </w:t>
      </w:r>
      <w:r>
        <w:rPr>
          <w:b/>
          <w:bCs/>
          <w:sz w:val="40"/>
          <w:szCs w:val="40"/>
        </w:rPr>
        <w:t>ИГРЕ</w:t>
      </w:r>
      <w:r w:rsidRPr="00A45D1C">
        <w:rPr>
          <w:b/>
          <w:bCs/>
          <w:sz w:val="40"/>
          <w:szCs w:val="40"/>
          <w:lang w:val="en-US"/>
        </w:rPr>
        <w:t xml:space="preserve"> </w:t>
      </w:r>
      <w:r w:rsidR="00FF4A9C">
        <w:rPr>
          <w:b/>
          <w:bCs/>
          <w:sz w:val="40"/>
          <w:szCs w:val="40"/>
        </w:rPr>
        <w:t>НОВУС</w:t>
      </w:r>
    </w:p>
    <w:p w:rsidR="00232C83" w:rsidRDefault="0084632E" w:rsidP="00030510">
      <w:pPr>
        <w:spacing w:after="0"/>
        <w:jc w:val="both"/>
      </w:pPr>
      <w:r>
        <w:rPr>
          <w:rFonts w:ascii="Arial" w:hAnsi="Arial" w:cs="Arial"/>
        </w:rPr>
        <w:t>1. ОБЩАЯ ИНФОРМАЦИЯ.</w:t>
      </w:r>
    </w:p>
    <w:p w:rsidR="00030510" w:rsidRDefault="0084632E" w:rsidP="00030510">
      <w:pPr>
        <w:spacing w:after="0"/>
        <w:ind w:firstLine="708"/>
        <w:jc w:val="both"/>
        <w:rPr>
          <w:rFonts w:ascii="Arial" w:hAnsi="Arial" w:cs="Arial"/>
        </w:rPr>
      </w:pPr>
      <w:r>
        <w:rPr>
          <w:rFonts w:ascii="Arial" w:hAnsi="Arial" w:cs="Arial"/>
        </w:rPr>
        <w:t xml:space="preserve">Онлайн-чемпионат проводится с целью оценки спортивной и технической подготовки участников, выявление лучших спортсменов на основании состязательного процесса в условиях </w:t>
      </w:r>
      <w:r w:rsidR="001B0559">
        <w:rPr>
          <w:rFonts w:ascii="Arial" w:hAnsi="Arial" w:cs="Arial"/>
        </w:rPr>
        <w:t>затруднения</w:t>
      </w:r>
      <w:r>
        <w:rPr>
          <w:rFonts w:ascii="Arial" w:hAnsi="Arial" w:cs="Arial"/>
        </w:rPr>
        <w:t xml:space="preserve"> проведения традиционных спортивных меропри</w:t>
      </w:r>
      <w:r w:rsidR="001B0559">
        <w:rPr>
          <w:rFonts w:ascii="Arial" w:hAnsi="Arial" w:cs="Arial"/>
        </w:rPr>
        <w:t>ятий для большого количества участников ввиду географических особенностей государства</w:t>
      </w:r>
      <w:r w:rsidR="00030510">
        <w:rPr>
          <w:rFonts w:ascii="Arial" w:hAnsi="Arial" w:cs="Arial"/>
        </w:rPr>
        <w:t xml:space="preserve">. </w:t>
      </w:r>
    </w:p>
    <w:p w:rsidR="00232C83" w:rsidRDefault="0084632E" w:rsidP="00030510">
      <w:pPr>
        <w:spacing w:after="0"/>
        <w:ind w:firstLine="708"/>
        <w:jc w:val="both"/>
        <w:rPr>
          <w:rFonts w:ascii="Arial" w:hAnsi="Arial" w:cs="Arial"/>
        </w:rPr>
      </w:pPr>
      <w:r>
        <w:rPr>
          <w:rFonts w:ascii="Arial" w:hAnsi="Arial" w:cs="Arial"/>
        </w:rPr>
        <w:t>Задача – популяризация настольных спортивных игр, поддержка здорового образа жизни, знакомство с игроками, уровнем игроков в разных регионах страны, совершенствование спортивного мастерства и спортивного духа участников, физической и психологической реабилитации людей с инвалидностью, привлечение внимания государственных, общественных и коммерческих организаций к проблемам людей с инвалидностью. Руководство организацией и проведением соревнований осуществляет Федерацией настольных спортивных игр России.</w:t>
      </w:r>
    </w:p>
    <w:p w:rsidR="00030510" w:rsidRDefault="0084632E" w:rsidP="00030510">
      <w:pPr>
        <w:spacing w:after="0"/>
        <w:jc w:val="both"/>
        <w:rPr>
          <w:rFonts w:ascii="Arial" w:hAnsi="Arial" w:cs="Arial"/>
        </w:rPr>
      </w:pPr>
      <w:r>
        <w:rPr>
          <w:rFonts w:ascii="Arial" w:hAnsi="Arial" w:cs="Arial"/>
        </w:rPr>
        <w:br/>
        <w:t>2. ПОРЯДОК ПРОВЕДЕНИЯ И УСЛОВИЯ ДОПУСКА УЧАСТНИКОВ.</w:t>
      </w:r>
    </w:p>
    <w:p w:rsidR="00A45D1C" w:rsidRDefault="0084632E" w:rsidP="00A45D1C">
      <w:pPr>
        <w:spacing w:after="0"/>
        <w:jc w:val="both"/>
        <w:rPr>
          <w:rFonts w:ascii="Arial" w:hAnsi="Arial" w:cs="Arial"/>
        </w:rPr>
      </w:pPr>
      <w:r>
        <w:rPr>
          <w:rFonts w:ascii="Arial" w:hAnsi="Arial" w:cs="Arial"/>
        </w:rPr>
        <w:t>Онлайн-чемпионат ФНСИР по</w:t>
      </w:r>
      <w:r w:rsidR="00895957">
        <w:rPr>
          <w:rFonts w:ascii="Arial" w:hAnsi="Arial" w:cs="Arial"/>
        </w:rPr>
        <w:t xml:space="preserve"> игре</w:t>
      </w:r>
      <w:r w:rsidR="00FF4A9C">
        <w:rPr>
          <w:rFonts w:ascii="Arial" w:hAnsi="Arial" w:cs="Arial"/>
        </w:rPr>
        <w:t xml:space="preserve"> Новус</w:t>
      </w:r>
      <w:r w:rsidR="00030510">
        <w:rPr>
          <w:rFonts w:ascii="Arial" w:hAnsi="Arial" w:cs="Arial"/>
        </w:rPr>
        <w:t xml:space="preserve"> проводится с </w:t>
      </w:r>
      <w:r w:rsidR="00862C2B">
        <w:rPr>
          <w:rFonts w:ascii="Arial" w:hAnsi="Arial" w:cs="Arial"/>
        </w:rPr>
        <w:t>25.03.2024 по 15.05</w:t>
      </w:r>
      <w:r w:rsidR="00FF4A9C" w:rsidRPr="00A45D1C">
        <w:rPr>
          <w:rFonts w:ascii="Arial" w:hAnsi="Arial" w:cs="Arial"/>
        </w:rPr>
        <w:t>.2024</w:t>
      </w:r>
      <w:r>
        <w:rPr>
          <w:rFonts w:ascii="Arial" w:hAnsi="Arial" w:cs="Arial"/>
        </w:rPr>
        <w:t> года.</w:t>
      </w:r>
      <w:r>
        <w:rPr>
          <w:rFonts w:ascii="Arial" w:hAnsi="Arial" w:cs="Arial"/>
        </w:rPr>
        <w:br/>
        <w:t xml:space="preserve">Участниками турнира, становятся игроки, имеющие </w:t>
      </w:r>
      <w:r w:rsidR="00E407C9">
        <w:rPr>
          <w:rFonts w:ascii="Arial" w:hAnsi="Arial" w:cs="Arial"/>
        </w:rPr>
        <w:t xml:space="preserve">устойчивое интернет-соединение  и </w:t>
      </w:r>
      <w:r>
        <w:rPr>
          <w:rFonts w:ascii="Arial" w:hAnsi="Arial" w:cs="Arial"/>
        </w:rPr>
        <w:t>возможность проводить игру с инвентарём, соответствующим требованиям пункта 4.</w:t>
      </w:r>
      <w:r w:rsidR="00E407C9">
        <w:rPr>
          <w:rFonts w:ascii="Arial" w:hAnsi="Arial" w:cs="Arial"/>
        </w:rPr>
        <w:t xml:space="preserve">1 настоящего Положения. Подать </w:t>
      </w:r>
      <w:r>
        <w:rPr>
          <w:rFonts w:ascii="Arial" w:hAnsi="Arial" w:cs="Arial"/>
        </w:rPr>
        <w:t>заявку на участие в онлайн-чемпио</w:t>
      </w:r>
      <w:r w:rsidR="005B3ED2">
        <w:rPr>
          <w:rFonts w:ascii="Arial" w:hAnsi="Arial" w:cs="Arial"/>
        </w:rPr>
        <w:t xml:space="preserve">нате по игре </w:t>
      </w:r>
      <w:r w:rsidR="00FF4A9C">
        <w:rPr>
          <w:rFonts w:ascii="Arial" w:hAnsi="Arial" w:cs="Arial"/>
        </w:rPr>
        <w:t>Новус</w:t>
      </w:r>
      <w:r w:rsidR="005B3ED2">
        <w:rPr>
          <w:rFonts w:ascii="Arial" w:hAnsi="Arial" w:cs="Arial"/>
        </w:rPr>
        <w:t xml:space="preserve"> </w:t>
      </w:r>
      <w:r w:rsidR="00E407C9">
        <w:rPr>
          <w:rFonts w:ascii="Arial" w:hAnsi="Arial" w:cs="Arial"/>
        </w:rPr>
        <w:t xml:space="preserve">необходимо </w:t>
      </w:r>
      <w:r w:rsidR="00862C2B">
        <w:rPr>
          <w:rFonts w:ascii="Arial" w:hAnsi="Arial" w:cs="Arial"/>
        </w:rPr>
        <w:t>до 24.03</w:t>
      </w:r>
      <w:r w:rsidR="00A45D1C">
        <w:rPr>
          <w:rFonts w:ascii="Arial" w:hAnsi="Arial" w:cs="Arial"/>
        </w:rPr>
        <w:t>.2024</w:t>
      </w:r>
      <w:r w:rsidRPr="00A45D1C">
        <w:rPr>
          <w:rFonts w:ascii="Arial" w:hAnsi="Arial" w:cs="Arial"/>
        </w:rPr>
        <w:t> года</w:t>
      </w:r>
      <w:r w:rsidR="00030510">
        <w:rPr>
          <w:rFonts w:ascii="Arial" w:hAnsi="Arial" w:cs="Arial"/>
        </w:rPr>
        <w:t xml:space="preserve">, </w:t>
      </w:r>
      <w:r w:rsidR="00E407C9">
        <w:rPr>
          <w:rFonts w:ascii="Arial" w:hAnsi="Arial" w:cs="Arial"/>
        </w:rPr>
        <w:t xml:space="preserve">после </w:t>
      </w:r>
      <w:r w:rsidR="00A45D1C">
        <w:rPr>
          <w:rFonts w:ascii="Arial" w:hAnsi="Arial" w:cs="Arial"/>
        </w:rPr>
        <w:t xml:space="preserve">заполнения </w:t>
      </w:r>
      <w:r w:rsidR="00FF4A9C">
        <w:rPr>
          <w:rFonts w:ascii="Arial" w:hAnsi="Arial" w:cs="Arial"/>
        </w:rPr>
        <w:t>анкеты</w:t>
      </w:r>
      <w:r w:rsidR="00030510">
        <w:rPr>
          <w:rFonts w:ascii="Arial" w:hAnsi="Arial" w:cs="Arial"/>
        </w:rPr>
        <w:t xml:space="preserve"> </w:t>
      </w:r>
      <w:r w:rsidR="00FF4A9C">
        <w:rPr>
          <w:rFonts w:ascii="Arial" w:hAnsi="Arial" w:cs="Arial"/>
        </w:rPr>
        <w:t>по ссылке</w:t>
      </w:r>
      <w:r w:rsidR="00A45D1C">
        <w:rPr>
          <w:rFonts w:ascii="Arial" w:hAnsi="Arial" w:cs="Arial"/>
        </w:rPr>
        <w:t>:</w:t>
      </w:r>
    </w:p>
    <w:p w:rsidR="00E407C9" w:rsidRPr="007D27CC" w:rsidRDefault="00BB08EB" w:rsidP="00A45D1C">
      <w:pPr>
        <w:spacing w:after="0"/>
        <w:jc w:val="both"/>
        <w:rPr>
          <w:rFonts w:ascii="Arial" w:hAnsi="Arial" w:cs="Arial"/>
        </w:rPr>
      </w:pPr>
      <w:hyperlink r:id="rId8" w:history="1">
        <w:r w:rsidR="00862C2B" w:rsidRPr="00714311">
          <w:rPr>
            <w:rStyle w:val="a3"/>
            <w:rFonts w:ascii="Times New Roman" w:hAnsi="Times New Roman"/>
            <w:sz w:val="28"/>
            <w:szCs w:val="28"/>
            <w:lang w:val="en-US"/>
          </w:rPr>
          <w:t>https</w:t>
        </w:r>
        <w:r w:rsidR="00862C2B" w:rsidRPr="00714311">
          <w:rPr>
            <w:rStyle w:val="a3"/>
            <w:rFonts w:ascii="Times New Roman" w:hAnsi="Times New Roman"/>
            <w:sz w:val="28"/>
            <w:szCs w:val="28"/>
          </w:rPr>
          <w:t>://</w:t>
        </w:r>
        <w:r w:rsidR="00862C2B" w:rsidRPr="00714311">
          <w:rPr>
            <w:rStyle w:val="a3"/>
            <w:rFonts w:ascii="Times New Roman" w:hAnsi="Times New Roman"/>
            <w:sz w:val="28"/>
            <w:szCs w:val="28"/>
            <w:lang w:val="en-US"/>
          </w:rPr>
          <w:t>forms</w:t>
        </w:r>
        <w:r w:rsidR="00862C2B" w:rsidRPr="00714311">
          <w:rPr>
            <w:rStyle w:val="a3"/>
            <w:rFonts w:ascii="Times New Roman" w:hAnsi="Times New Roman"/>
            <w:sz w:val="28"/>
            <w:szCs w:val="28"/>
          </w:rPr>
          <w:t>.</w:t>
        </w:r>
        <w:r w:rsidR="00862C2B" w:rsidRPr="00714311">
          <w:rPr>
            <w:rStyle w:val="a3"/>
            <w:rFonts w:ascii="Times New Roman" w:hAnsi="Times New Roman"/>
            <w:sz w:val="28"/>
            <w:szCs w:val="28"/>
            <w:lang w:val="en-US"/>
          </w:rPr>
          <w:t>yandex</w:t>
        </w:r>
        <w:r w:rsidR="00862C2B" w:rsidRPr="00714311">
          <w:rPr>
            <w:rStyle w:val="a3"/>
            <w:rFonts w:ascii="Times New Roman" w:hAnsi="Times New Roman"/>
            <w:sz w:val="28"/>
            <w:szCs w:val="28"/>
          </w:rPr>
          <w:t>.</w:t>
        </w:r>
        <w:r w:rsidR="00862C2B" w:rsidRPr="00714311">
          <w:rPr>
            <w:rStyle w:val="a3"/>
            <w:rFonts w:ascii="Times New Roman" w:hAnsi="Times New Roman"/>
            <w:sz w:val="28"/>
            <w:szCs w:val="28"/>
            <w:lang w:val="en-US"/>
          </w:rPr>
          <w:t>ru</w:t>
        </w:r>
        <w:r w:rsidR="00862C2B" w:rsidRPr="00714311">
          <w:rPr>
            <w:rStyle w:val="a3"/>
            <w:rFonts w:ascii="Times New Roman" w:hAnsi="Times New Roman"/>
            <w:sz w:val="28"/>
            <w:szCs w:val="28"/>
          </w:rPr>
          <w:t>/</w:t>
        </w:r>
        <w:r w:rsidR="00862C2B" w:rsidRPr="00714311">
          <w:rPr>
            <w:rStyle w:val="a3"/>
            <w:rFonts w:ascii="Times New Roman" w:hAnsi="Times New Roman"/>
            <w:sz w:val="28"/>
            <w:szCs w:val="28"/>
            <w:lang w:val="en-US"/>
          </w:rPr>
          <w:t>cloud</w:t>
        </w:r>
        <w:r w:rsidR="00862C2B" w:rsidRPr="00714311">
          <w:rPr>
            <w:rStyle w:val="a3"/>
            <w:rFonts w:ascii="Times New Roman" w:hAnsi="Times New Roman"/>
            <w:sz w:val="28"/>
            <w:szCs w:val="28"/>
          </w:rPr>
          <w:t>/65</w:t>
        </w:r>
        <w:r w:rsidR="00862C2B" w:rsidRPr="00714311">
          <w:rPr>
            <w:rStyle w:val="a3"/>
            <w:rFonts w:ascii="Times New Roman" w:hAnsi="Times New Roman"/>
            <w:sz w:val="28"/>
            <w:szCs w:val="28"/>
            <w:lang w:val="en-US"/>
          </w:rPr>
          <w:t>c</w:t>
        </w:r>
        <w:r w:rsidR="00862C2B" w:rsidRPr="00714311">
          <w:rPr>
            <w:rStyle w:val="a3"/>
            <w:rFonts w:ascii="Times New Roman" w:hAnsi="Times New Roman"/>
            <w:sz w:val="28"/>
            <w:szCs w:val="28"/>
          </w:rPr>
          <w:t>1</w:t>
        </w:r>
        <w:r w:rsidR="00862C2B" w:rsidRPr="00714311">
          <w:rPr>
            <w:rStyle w:val="a3"/>
            <w:rFonts w:ascii="Times New Roman" w:hAnsi="Times New Roman"/>
            <w:sz w:val="28"/>
            <w:szCs w:val="28"/>
            <w:lang w:val="en-US"/>
          </w:rPr>
          <w:t>df</w:t>
        </w:r>
        <w:r w:rsidR="00862C2B" w:rsidRPr="00714311">
          <w:rPr>
            <w:rStyle w:val="a3"/>
            <w:rFonts w:ascii="Times New Roman" w:hAnsi="Times New Roman"/>
            <w:sz w:val="28"/>
            <w:szCs w:val="28"/>
          </w:rPr>
          <w:t>2502848</w:t>
        </w:r>
        <w:r w:rsidR="00862C2B" w:rsidRPr="00714311">
          <w:rPr>
            <w:rStyle w:val="a3"/>
            <w:rFonts w:ascii="Times New Roman" w:hAnsi="Times New Roman"/>
            <w:sz w:val="28"/>
            <w:szCs w:val="28"/>
            <w:lang w:val="en-US"/>
          </w:rPr>
          <w:t>f</w:t>
        </w:r>
        <w:r w:rsidR="00862C2B" w:rsidRPr="00714311">
          <w:rPr>
            <w:rStyle w:val="a3"/>
            <w:rFonts w:ascii="Times New Roman" w:hAnsi="Times New Roman"/>
            <w:sz w:val="28"/>
            <w:szCs w:val="28"/>
          </w:rPr>
          <w:t>00</w:t>
        </w:r>
        <w:r w:rsidR="00862C2B" w:rsidRPr="00714311">
          <w:rPr>
            <w:rStyle w:val="a3"/>
            <w:rFonts w:ascii="Times New Roman" w:hAnsi="Times New Roman"/>
            <w:sz w:val="28"/>
            <w:szCs w:val="28"/>
            <w:lang w:val="en-US"/>
          </w:rPr>
          <w:t>ffe</w:t>
        </w:r>
        <w:r w:rsidR="00862C2B" w:rsidRPr="00714311">
          <w:rPr>
            <w:rStyle w:val="a3"/>
            <w:rFonts w:ascii="Times New Roman" w:hAnsi="Times New Roman"/>
            <w:sz w:val="28"/>
            <w:szCs w:val="28"/>
          </w:rPr>
          <w:t>75</w:t>
        </w:r>
        <w:r w:rsidR="00862C2B" w:rsidRPr="00714311">
          <w:rPr>
            <w:rStyle w:val="a3"/>
            <w:rFonts w:ascii="Times New Roman" w:hAnsi="Times New Roman"/>
            <w:sz w:val="28"/>
            <w:szCs w:val="28"/>
            <w:lang w:val="en-US"/>
          </w:rPr>
          <w:t>f</w:t>
        </w:r>
        <w:r w:rsidR="00862C2B" w:rsidRPr="00714311">
          <w:rPr>
            <w:rStyle w:val="a3"/>
            <w:rFonts w:ascii="Times New Roman" w:hAnsi="Times New Roman"/>
            <w:sz w:val="28"/>
            <w:szCs w:val="28"/>
          </w:rPr>
          <w:t>71/</w:t>
        </w:r>
      </w:hyperlink>
      <w:r w:rsidR="00A45D1C">
        <w:rPr>
          <w:rFonts w:ascii="Arial" w:hAnsi="Arial" w:cs="Arial"/>
        </w:rPr>
        <w:t xml:space="preserve"> </w:t>
      </w:r>
      <w:r w:rsidR="00FF4A9C">
        <w:rPr>
          <w:rFonts w:ascii="Arial" w:hAnsi="Arial" w:cs="Arial"/>
        </w:rPr>
        <w:t xml:space="preserve">и </w:t>
      </w:r>
      <w:r w:rsidR="00E407C9">
        <w:rPr>
          <w:rFonts w:ascii="Arial" w:hAnsi="Arial" w:cs="Arial"/>
        </w:rPr>
        <w:t>оплаты вступительного</w:t>
      </w:r>
      <w:r w:rsidR="0084632E">
        <w:rPr>
          <w:rFonts w:ascii="Arial" w:hAnsi="Arial" w:cs="Arial"/>
        </w:rPr>
        <w:t xml:space="preserve"> взнос</w:t>
      </w:r>
      <w:r w:rsidR="00E407C9">
        <w:rPr>
          <w:rFonts w:ascii="Arial" w:hAnsi="Arial" w:cs="Arial"/>
        </w:rPr>
        <w:t>а</w:t>
      </w:r>
      <w:r w:rsidR="00A45D1C">
        <w:rPr>
          <w:rFonts w:ascii="Arial" w:hAnsi="Arial" w:cs="Arial"/>
        </w:rPr>
        <w:t xml:space="preserve"> – 300 руб</w:t>
      </w:r>
      <w:r w:rsidR="005B3ED2">
        <w:rPr>
          <w:rFonts w:ascii="Arial" w:hAnsi="Arial" w:cs="Arial"/>
        </w:rPr>
        <w:t xml:space="preserve">. </w:t>
      </w:r>
      <w:r w:rsidR="005B3ED2" w:rsidRPr="000240D1">
        <w:rPr>
          <w:rFonts w:ascii="Arial" w:hAnsi="Arial" w:cs="Arial"/>
        </w:rPr>
        <w:t xml:space="preserve">Условия оплаты указаны </w:t>
      </w:r>
      <w:r w:rsidR="000240D1" w:rsidRPr="000240D1">
        <w:rPr>
          <w:rFonts w:ascii="Arial" w:hAnsi="Arial" w:cs="Arial"/>
        </w:rPr>
        <w:t>в прилагаемом к «Положению</w:t>
      </w:r>
      <w:bookmarkStart w:id="0" w:name="_GoBack"/>
      <w:bookmarkEnd w:id="0"/>
      <w:r w:rsidR="000240D1">
        <w:rPr>
          <w:rFonts w:ascii="Arial" w:hAnsi="Arial" w:cs="Arial"/>
        </w:rPr>
        <w:t>» файле.</w:t>
      </w:r>
    </w:p>
    <w:p w:rsidR="00A45D1C" w:rsidRDefault="00A45D1C" w:rsidP="00E407C9">
      <w:pPr>
        <w:spacing w:after="0"/>
        <w:jc w:val="both"/>
        <w:rPr>
          <w:rFonts w:ascii="Arial" w:hAnsi="Arial" w:cs="Arial"/>
        </w:rPr>
      </w:pPr>
    </w:p>
    <w:p w:rsidR="00E407C9" w:rsidRDefault="00E407C9" w:rsidP="00E407C9">
      <w:pPr>
        <w:spacing w:after="0"/>
        <w:jc w:val="both"/>
        <w:rPr>
          <w:rFonts w:ascii="Arial" w:hAnsi="Arial" w:cs="Arial"/>
        </w:rPr>
      </w:pPr>
      <w:r>
        <w:rPr>
          <w:rFonts w:ascii="Arial" w:hAnsi="Arial" w:cs="Arial"/>
        </w:rPr>
        <w:t>3.РУКОВОДСТВО И СУДЕЙСТВО</w:t>
      </w:r>
    </w:p>
    <w:p w:rsidR="00E407C9" w:rsidRDefault="0084632E" w:rsidP="00E407C9">
      <w:pPr>
        <w:spacing w:after="0"/>
        <w:ind w:firstLine="708"/>
        <w:jc w:val="both"/>
        <w:rPr>
          <w:rFonts w:ascii="Arial" w:hAnsi="Arial" w:cs="Arial"/>
        </w:rPr>
      </w:pPr>
      <w:r>
        <w:rPr>
          <w:rFonts w:ascii="Arial" w:hAnsi="Arial" w:cs="Arial"/>
        </w:rPr>
        <w:t>Общее руководство подготовкой и проведением соревнования осуществляет Федерация настольных спортивных игр России (далее «ФНСИР»). Непосредственное проведение соревнований возлагается на судейскую коллегию. Судейская коллегия формируется руководством ФНСИР.</w:t>
      </w:r>
    </w:p>
    <w:p w:rsidR="00E407C9" w:rsidRPr="009513A5" w:rsidRDefault="0084632E" w:rsidP="00E407C9">
      <w:pPr>
        <w:spacing w:after="0"/>
        <w:ind w:firstLine="708"/>
        <w:jc w:val="both"/>
        <w:rPr>
          <w:rFonts w:ascii="Arial" w:hAnsi="Arial" w:cs="Arial"/>
        </w:rPr>
      </w:pPr>
      <w:r>
        <w:rPr>
          <w:rFonts w:ascii="Arial" w:hAnsi="Arial" w:cs="Arial"/>
        </w:rPr>
        <w:t>Главный судья соревнования – Андрей Юрьевич</w:t>
      </w:r>
      <w:r w:rsidR="00E407C9">
        <w:rPr>
          <w:rFonts w:ascii="Arial" w:hAnsi="Arial" w:cs="Arial"/>
        </w:rPr>
        <w:t xml:space="preserve"> Вассман (тел.+7 921 746-56-83)</w:t>
      </w:r>
      <w:r w:rsidR="009513A5">
        <w:rPr>
          <w:rFonts w:ascii="Arial" w:hAnsi="Arial" w:cs="Arial"/>
        </w:rPr>
        <w:t xml:space="preserve"> </w:t>
      </w:r>
      <w:r w:rsidR="009513A5">
        <w:rPr>
          <w:rFonts w:ascii="Arial" w:hAnsi="Arial" w:cs="Arial"/>
          <w:lang w:val="en-US"/>
        </w:rPr>
        <w:t>email</w:t>
      </w:r>
      <w:r w:rsidR="009513A5" w:rsidRPr="009513A5">
        <w:rPr>
          <w:rFonts w:ascii="Arial" w:hAnsi="Arial" w:cs="Arial"/>
        </w:rPr>
        <w:t xml:space="preserve">: </w:t>
      </w:r>
      <w:hyperlink r:id="rId9" w:history="1">
        <w:r w:rsidR="009513A5" w:rsidRPr="005D72CC">
          <w:rPr>
            <w:rStyle w:val="a3"/>
            <w:rFonts w:ascii="Arial" w:hAnsi="Arial" w:cs="Arial"/>
            <w:lang w:val="en-US"/>
          </w:rPr>
          <w:t>fnsirus</w:t>
        </w:r>
        <w:r w:rsidR="009513A5" w:rsidRPr="005D72CC">
          <w:rPr>
            <w:rStyle w:val="a3"/>
            <w:rFonts w:ascii="Arial" w:hAnsi="Arial" w:cs="Arial"/>
          </w:rPr>
          <w:t>@</w:t>
        </w:r>
        <w:r w:rsidR="009513A5" w:rsidRPr="005D72CC">
          <w:rPr>
            <w:rStyle w:val="a3"/>
            <w:rFonts w:ascii="Arial" w:hAnsi="Arial" w:cs="Arial"/>
            <w:lang w:val="en-US"/>
          </w:rPr>
          <w:t>gmail</w:t>
        </w:r>
        <w:r w:rsidR="009513A5" w:rsidRPr="005D72CC">
          <w:rPr>
            <w:rStyle w:val="a3"/>
            <w:rFonts w:ascii="Arial" w:hAnsi="Arial" w:cs="Arial"/>
          </w:rPr>
          <w:t>.</w:t>
        </w:r>
        <w:r w:rsidR="009513A5" w:rsidRPr="005D72CC">
          <w:rPr>
            <w:rStyle w:val="a3"/>
            <w:rFonts w:ascii="Arial" w:hAnsi="Arial" w:cs="Arial"/>
            <w:lang w:val="en-US"/>
          </w:rPr>
          <w:t>com</w:t>
        </w:r>
      </w:hyperlink>
      <w:r w:rsidR="009513A5" w:rsidRPr="009513A5">
        <w:rPr>
          <w:rFonts w:ascii="Arial" w:hAnsi="Arial" w:cs="Arial"/>
        </w:rPr>
        <w:t xml:space="preserve"> </w:t>
      </w:r>
    </w:p>
    <w:p w:rsidR="00E407C9" w:rsidRDefault="00E407C9" w:rsidP="00E407C9">
      <w:pPr>
        <w:spacing w:after="0"/>
        <w:jc w:val="both"/>
        <w:rPr>
          <w:rFonts w:ascii="Arial" w:hAnsi="Arial" w:cs="Arial"/>
        </w:rPr>
      </w:pPr>
    </w:p>
    <w:p w:rsidR="00E407C9" w:rsidRDefault="0084632E" w:rsidP="00E407C9">
      <w:pPr>
        <w:spacing w:after="0"/>
        <w:jc w:val="both"/>
        <w:rPr>
          <w:rFonts w:ascii="Arial" w:hAnsi="Arial" w:cs="Arial"/>
        </w:rPr>
      </w:pPr>
      <w:r>
        <w:rPr>
          <w:rFonts w:ascii="Arial" w:hAnsi="Arial" w:cs="Arial"/>
        </w:rPr>
        <w:t xml:space="preserve">4.1. </w:t>
      </w:r>
      <w:r w:rsidR="00E407C9">
        <w:rPr>
          <w:rFonts w:ascii="Arial" w:hAnsi="Arial" w:cs="Arial"/>
        </w:rPr>
        <w:t>ТРЕБОВАНИЯ К ИГРОВОМУ ИНВЕНТАРЮ</w:t>
      </w:r>
    </w:p>
    <w:p w:rsidR="00FF4A9C" w:rsidRPr="00FF4A9C" w:rsidRDefault="00FF4A9C" w:rsidP="00FF4A9C">
      <w:pPr>
        <w:spacing w:after="0"/>
        <w:jc w:val="both"/>
        <w:rPr>
          <w:rFonts w:ascii="Arial" w:hAnsi="Arial" w:cs="Arial"/>
        </w:rPr>
      </w:pPr>
      <w:r w:rsidRPr="00FF4A9C">
        <w:rPr>
          <w:rFonts w:ascii="Arial" w:hAnsi="Arial" w:cs="Arial"/>
        </w:rPr>
        <w:t xml:space="preserve">Новусный стол – фанерная плита размером 1х1 м, ограниченная бортами шириной 45 мм. Высота борта от поверхности стола – 25 мм. Во всех четырех углах стола на расстоянии 15 мм от бортов имеются круглые отверстия (лузы) диаметром 100 мм, под которыми прикреплены мешочки из материи. Края отверстия должны быть гладкими, чтобы не препятствовать скольжению пешек. На поверхности стола нанесены черные линии шириной 1 мм. Бортовую зону ограничивает параллельная борту линия, проведенная на расстоянии 130 мм от него. В середине стола нанесен внутренний круг диаметром 250 мм. Его делят на четыре сектора линиями, перпендикулярными бортам. Поверхность стола должна быть многократно лакированной, тщательно отшлифованной </w:t>
      </w:r>
      <w:r w:rsidRPr="00FF4A9C">
        <w:rPr>
          <w:rFonts w:ascii="Arial" w:hAnsi="Arial" w:cs="Arial"/>
        </w:rPr>
        <w:lastRenderedPageBreak/>
        <w:t>мелкой наждачной бумагой, отполированной и гладкой. С целью улучшить скольжение стол перед игрой посыпают борной кислотой, которой при помощи бумаги (картона) натирают его (стол). Использовать другие вещества для улучшения скольжения запрещено. Борта должны быть изготовлены из дерева. Желательно, чтобы борта были клееные, притом с внутренней стороны они должны быть изготовлены из твердых пород лиственного дерева. Стол размещают на деревянном или металлическом основании так, чтобы от верха бортов до пола было 75 - 78 см. Основание должно обеспечить столу устойчивость и быть регулируемым. При помощи регулировки достигается строго горизонтальное положение стола.</w:t>
      </w:r>
    </w:p>
    <w:p w:rsidR="00FF4A9C" w:rsidRPr="00FF4A9C" w:rsidRDefault="00FF4A9C" w:rsidP="00FF4A9C">
      <w:pPr>
        <w:spacing w:after="0"/>
        <w:jc w:val="both"/>
        <w:rPr>
          <w:rFonts w:ascii="Arial" w:hAnsi="Arial" w:cs="Arial"/>
        </w:rPr>
      </w:pPr>
      <w:r w:rsidRPr="00FF4A9C">
        <w:rPr>
          <w:rFonts w:ascii="Arial" w:hAnsi="Arial" w:cs="Arial"/>
        </w:rPr>
        <w:t>Пешки должны быть изготовлены из дерева (желательно из березы). Диаметр пешек 30 мм, толщина 12 мм, диаметр центрального отверстия – 8 мм. Края пешек немного закруглены, а верхняя и нижняя поверхности немного вогнуты, чтобы уменьшить площадь скольжения. Пешки покрашены в два цвета – красный и черный, по шестнадцать (16) каждого цвета.</w:t>
      </w:r>
    </w:p>
    <w:p w:rsidR="00FF4A9C" w:rsidRPr="00FF4A9C" w:rsidRDefault="00FF4A9C" w:rsidP="00FF4A9C">
      <w:pPr>
        <w:spacing w:after="0"/>
        <w:jc w:val="both"/>
        <w:rPr>
          <w:rFonts w:ascii="Arial" w:hAnsi="Arial" w:cs="Arial"/>
        </w:rPr>
      </w:pPr>
      <w:r w:rsidRPr="00FF4A9C">
        <w:rPr>
          <w:rFonts w:ascii="Arial" w:hAnsi="Arial" w:cs="Arial"/>
        </w:rPr>
        <w:t>Шайба должна быть изготовлена из цельного куска дерева. Форма шайбы подобна форме пешки. Толщина ее 14-15 мм, диаметр 44-45 мм, диаметр отверстия 10–10,2 мм, отверстие цилиндрическое, без расширения на концах отверстия, вес не более 22 г. Шайба не должна быть клееной, крашеной, лакированной и пропитанной каким-либо веществом. На ее поверхности могут быть инициалы владельца.</w:t>
      </w:r>
    </w:p>
    <w:p w:rsidR="00FF4A9C" w:rsidRDefault="00941D5A" w:rsidP="00FF4A9C">
      <w:pPr>
        <w:spacing w:after="0"/>
        <w:jc w:val="both"/>
        <w:rPr>
          <w:rFonts w:ascii="Arial" w:hAnsi="Arial" w:cs="Arial"/>
        </w:rPr>
      </w:pPr>
      <w:r>
        <w:rPr>
          <w:rFonts w:ascii="Arial" w:hAnsi="Arial" w:cs="Arial"/>
          <w:noProof/>
          <w:lang w:eastAsia="ru-RU"/>
        </w:rPr>
        <w:drawing>
          <wp:anchor distT="0" distB="0" distL="114300" distR="114300" simplePos="0" relativeHeight="251658240" behindDoc="0" locked="0" layoutInCell="1" allowOverlap="1" wp14:anchorId="1FC6EBB4" wp14:editId="2D4D1B01">
            <wp:simplePos x="0" y="0"/>
            <wp:positionH relativeFrom="column">
              <wp:posOffset>1348740</wp:posOffset>
            </wp:positionH>
            <wp:positionV relativeFrom="paragraph">
              <wp:posOffset>683895</wp:posOffset>
            </wp:positionV>
            <wp:extent cx="4023360" cy="4370705"/>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3360" cy="4370705"/>
                    </a:xfrm>
                    <a:prstGeom prst="rect">
                      <a:avLst/>
                    </a:prstGeom>
                    <a:noFill/>
                  </pic:spPr>
                </pic:pic>
              </a:graphicData>
            </a:graphic>
            <wp14:sizeRelH relativeFrom="margin">
              <wp14:pctWidth>0</wp14:pctWidth>
            </wp14:sizeRelH>
          </wp:anchor>
        </w:drawing>
      </w:r>
      <w:r w:rsidR="00FF4A9C" w:rsidRPr="00FF4A9C">
        <w:rPr>
          <w:rFonts w:ascii="Arial" w:hAnsi="Arial" w:cs="Arial"/>
        </w:rPr>
        <w:t>Кий - длина, толщина и вес кия, а также материал, из которого он изготовлен, не ограничены, кроме требования, чтобы тонкий конец кия, длиной 250 мм был изготовлен из круглого дерева. Диаметр тонкого конца кия 6-10 мм. Тонкий конец кия не должен быть отколот или зазубрен, а также не должно быть на конце никаких наклеек из других материалов и веществ.</w:t>
      </w:r>
    </w:p>
    <w:p w:rsidR="00FF4A9C" w:rsidRDefault="00FF4A9C" w:rsidP="00FF4A9C">
      <w:pPr>
        <w:spacing w:after="0"/>
        <w:jc w:val="both"/>
        <w:rPr>
          <w:rFonts w:ascii="Arial" w:hAnsi="Arial" w:cs="Arial"/>
        </w:rPr>
      </w:pPr>
    </w:p>
    <w:p w:rsidR="00605C2F" w:rsidRDefault="00605C2F" w:rsidP="00FF4A9C">
      <w:pPr>
        <w:spacing w:after="0"/>
        <w:jc w:val="both"/>
        <w:rPr>
          <w:rFonts w:ascii="Arial" w:hAnsi="Arial" w:cs="Arial"/>
        </w:rPr>
      </w:pPr>
    </w:p>
    <w:p w:rsidR="00FD2919" w:rsidRDefault="0084632E" w:rsidP="00FF4A9C">
      <w:pPr>
        <w:spacing w:after="0"/>
        <w:jc w:val="both"/>
        <w:rPr>
          <w:rFonts w:ascii="Arial" w:hAnsi="Arial" w:cs="Arial"/>
        </w:rPr>
      </w:pPr>
      <w:r>
        <w:rPr>
          <w:rFonts w:ascii="Arial" w:hAnsi="Arial" w:cs="Arial"/>
        </w:rPr>
        <w:t>4.2. ТРЕБ</w:t>
      </w:r>
      <w:r w:rsidR="00FD2919">
        <w:rPr>
          <w:rFonts w:ascii="Arial" w:hAnsi="Arial" w:cs="Arial"/>
        </w:rPr>
        <w:t>ОВАНИЯ К ТЕХНИЧЕСКОМУ ОСНАЩЕНИЮ</w:t>
      </w:r>
    </w:p>
    <w:p w:rsidR="00FD2919" w:rsidRDefault="0084632E" w:rsidP="00FD2919">
      <w:pPr>
        <w:spacing w:after="0"/>
        <w:jc w:val="both"/>
        <w:rPr>
          <w:rFonts w:ascii="Arial" w:hAnsi="Arial" w:cs="Arial"/>
        </w:rPr>
      </w:pPr>
      <w:r>
        <w:rPr>
          <w:rFonts w:ascii="Arial" w:hAnsi="Arial" w:cs="Arial"/>
        </w:rPr>
        <w:t>Участник турнира должен:</w:t>
      </w:r>
    </w:p>
    <w:p w:rsidR="00FD2919" w:rsidRDefault="0084632E" w:rsidP="00FD2919">
      <w:pPr>
        <w:spacing w:after="0"/>
        <w:jc w:val="both"/>
        <w:rPr>
          <w:rFonts w:ascii="Arial" w:hAnsi="Arial" w:cs="Arial"/>
        </w:rPr>
      </w:pPr>
      <w:r>
        <w:rPr>
          <w:rFonts w:ascii="Arial" w:hAnsi="Arial" w:cs="Arial"/>
        </w:rPr>
        <w:t>— обеспечить устойчивое интернет-соединение в используемом помещении;</w:t>
      </w:r>
    </w:p>
    <w:p w:rsidR="00232C83" w:rsidRDefault="00FF4A9C" w:rsidP="00FD2919">
      <w:pPr>
        <w:spacing w:after="0"/>
        <w:jc w:val="both"/>
        <w:rPr>
          <w:rFonts w:ascii="Arial" w:hAnsi="Arial" w:cs="Arial"/>
        </w:rPr>
      </w:pPr>
      <w:r>
        <w:rPr>
          <w:rFonts w:ascii="Arial" w:hAnsi="Arial" w:cs="Arial"/>
        </w:rPr>
        <w:t>— установить игровой стол</w:t>
      </w:r>
      <w:r w:rsidR="0084632E">
        <w:rPr>
          <w:rFonts w:ascii="Arial" w:hAnsi="Arial" w:cs="Arial"/>
        </w:rPr>
        <w:t xml:space="preserve"> таким образом, чтобы он</w:t>
      </w:r>
      <w:r>
        <w:rPr>
          <w:rFonts w:ascii="Arial" w:hAnsi="Arial" w:cs="Arial"/>
        </w:rPr>
        <w:t xml:space="preserve"> был</w:t>
      </w:r>
      <w:r w:rsidR="00AC7521">
        <w:rPr>
          <w:rFonts w:ascii="Arial" w:hAnsi="Arial" w:cs="Arial"/>
        </w:rPr>
        <w:t xml:space="preserve"> виден</w:t>
      </w:r>
      <w:r w:rsidR="00794B12">
        <w:rPr>
          <w:rFonts w:ascii="Arial" w:hAnsi="Arial" w:cs="Arial"/>
        </w:rPr>
        <w:t xml:space="preserve"> на экране целиком;</w:t>
      </w:r>
    </w:p>
    <w:p w:rsidR="00AC7521" w:rsidRDefault="0084632E" w:rsidP="00030510">
      <w:pPr>
        <w:spacing w:after="0"/>
        <w:jc w:val="both"/>
        <w:rPr>
          <w:rFonts w:ascii="Arial" w:hAnsi="Arial" w:cs="Arial"/>
        </w:rPr>
      </w:pPr>
      <w:r>
        <w:rPr>
          <w:rFonts w:ascii="Arial" w:hAnsi="Arial" w:cs="Arial"/>
        </w:rPr>
        <w:t xml:space="preserve">— </w:t>
      </w:r>
      <w:r w:rsidR="00AC7521" w:rsidRPr="00AC7521">
        <w:rPr>
          <w:rFonts w:ascii="Arial" w:hAnsi="Arial" w:cs="Arial"/>
        </w:rPr>
        <w:t>разместить видеокамеру (смартфон) таким образом, чтобы была возможность перемещения ее, при необходимост</w:t>
      </w:r>
      <w:r w:rsidR="00AC7521">
        <w:rPr>
          <w:rFonts w:ascii="Arial" w:hAnsi="Arial" w:cs="Arial"/>
        </w:rPr>
        <w:t>и, к любой точке игрового стола</w:t>
      </w:r>
    </w:p>
    <w:p w:rsidR="00B10764" w:rsidRDefault="0084632E" w:rsidP="00030510">
      <w:pPr>
        <w:spacing w:after="0"/>
        <w:jc w:val="both"/>
        <w:rPr>
          <w:rFonts w:ascii="Arial" w:hAnsi="Arial" w:cs="Arial"/>
        </w:rPr>
      </w:pPr>
      <w:r>
        <w:rPr>
          <w:rFonts w:ascii="Arial" w:hAnsi="Arial" w:cs="Arial"/>
        </w:rPr>
        <w:t>4.3</w:t>
      </w:r>
      <w:r w:rsidR="00B10764">
        <w:rPr>
          <w:rFonts w:ascii="Arial" w:hAnsi="Arial" w:cs="Arial"/>
        </w:rPr>
        <w:t>. ТРЕБОВАНИЯ К ОДЕЖДЕ И ИГРОКАМ</w:t>
      </w:r>
    </w:p>
    <w:p w:rsidR="00B10764" w:rsidRDefault="0084632E" w:rsidP="00B10764">
      <w:pPr>
        <w:spacing w:after="0"/>
        <w:ind w:firstLine="708"/>
        <w:jc w:val="both"/>
        <w:rPr>
          <w:rFonts w:ascii="Arial" w:hAnsi="Arial" w:cs="Arial"/>
        </w:rPr>
      </w:pPr>
      <w:r>
        <w:rPr>
          <w:rFonts w:ascii="Arial" w:hAnsi="Arial" w:cs="Arial"/>
        </w:rPr>
        <w:t>Игрок должен иметь аккуратный и опрятный внешний вид.</w:t>
      </w:r>
    </w:p>
    <w:p w:rsidR="00B10764" w:rsidRDefault="00B10764" w:rsidP="00B10764">
      <w:pPr>
        <w:spacing w:after="0"/>
        <w:jc w:val="both"/>
        <w:rPr>
          <w:rFonts w:ascii="Arial" w:hAnsi="Arial" w:cs="Arial"/>
        </w:rPr>
      </w:pPr>
      <w:r>
        <w:rPr>
          <w:rFonts w:ascii="Arial" w:hAnsi="Arial" w:cs="Arial"/>
        </w:rPr>
        <w:lastRenderedPageBreak/>
        <w:t>4.4. ИСПОЛЬЗОВАНИЕ ВИДЕОКОНФЕРЕНЦИИ</w:t>
      </w:r>
    </w:p>
    <w:p w:rsidR="00AC7521" w:rsidRDefault="00856487" w:rsidP="00856487">
      <w:pPr>
        <w:spacing w:after="0"/>
        <w:jc w:val="both"/>
        <w:rPr>
          <w:rFonts w:ascii="Arial" w:hAnsi="Arial" w:cs="Arial"/>
        </w:rPr>
      </w:pPr>
      <w:r>
        <w:rPr>
          <w:rFonts w:ascii="Arial" w:hAnsi="Arial" w:cs="Arial"/>
        </w:rPr>
        <w:tab/>
      </w:r>
      <w:r w:rsidR="00B87C5C">
        <w:rPr>
          <w:rFonts w:ascii="Arial" w:hAnsi="Arial" w:cs="Arial"/>
        </w:rPr>
        <w:t>Все встречи между участниками соревн</w:t>
      </w:r>
      <w:r w:rsidR="00AC7521">
        <w:rPr>
          <w:rFonts w:ascii="Arial" w:hAnsi="Arial" w:cs="Arial"/>
        </w:rPr>
        <w:t xml:space="preserve">ования проходят в видеочатах или видеоконференциях на любых доступных игрокам платформах по выбору участников. </w:t>
      </w:r>
    </w:p>
    <w:p w:rsidR="00B10764" w:rsidRDefault="0084632E" w:rsidP="00856487">
      <w:pPr>
        <w:spacing w:after="0"/>
        <w:jc w:val="both"/>
        <w:rPr>
          <w:rFonts w:ascii="Arial" w:hAnsi="Arial" w:cs="Arial"/>
        </w:rPr>
      </w:pPr>
      <w:r>
        <w:rPr>
          <w:rFonts w:ascii="Arial" w:hAnsi="Arial" w:cs="Arial"/>
        </w:rPr>
        <w:t>5. ПРОВЕДЕНИЕ ЧЕ</w:t>
      </w:r>
      <w:r w:rsidR="00B10764">
        <w:rPr>
          <w:rFonts w:ascii="Arial" w:hAnsi="Arial" w:cs="Arial"/>
        </w:rPr>
        <w:t>МПИОНАТА</w:t>
      </w:r>
    </w:p>
    <w:p w:rsidR="00856487" w:rsidRDefault="005B3ED2" w:rsidP="00B10764">
      <w:pPr>
        <w:spacing w:after="0"/>
        <w:ind w:firstLine="708"/>
        <w:jc w:val="both"/>
        <w:rPr>
          <w:rFonts w:ascii="Arial" w:hAnsi="Arial" w:cs="Arial"/>
        </w:rPr>
      </w:pPr>
      <w:r>
        <w:rPr>
          <w:rFonts w:ascii="Arial" w:hAnsi="Arial" w:cs="Arial"/>
        </w:rPr>
        <w:t>Онлайн-чемпионат ФНСИР</w:t>
      </w:r>
      <w:r w:rsidR="0084632E">
        <w:rPr>
          <w:rFonts w:ascii="Arial" w:hAnsi="Arial" w:cs="Arial"/>
        </w:rPr>
        <w:t xml:space="preserve"> по </w:t>
      </w:r>
      <w:r w:rsidR="00FF4A9C">
        <w:rPr>
          <w:rFonts w:ascii="Arial" w:hAnsi="Arial" w:cs="Arial"/>
        </w:rPr>
        <w:t>Новус</w:t>
      </w:r>
      <w:r w:rsidR="0084632E">
        <w:rPr>
          <w:rFonts w:ascii="Arial" w:hAnsi="Arial" w:cs="Arial"/>
        </w:rPr>
        <w:t>у проводит</w:t>
      </w:r>
      <w:r w:rsidR="00B10764">
        <w:rPr>
          <w:rFonts w:ascii="Arial" w:hAnsi="Arial" w:cs="Arial"/>
        </w:rPr>
        <w:t>ся в личном</w:t>
      </w:r>
      <w:r w:rsidR="00941CFA">
        <w:rPr>
          <w:rFonts w:ascii="Arial" w:hAnsi="Arial" w:cs="Arial"/>
        </w:rPr>
        <w:t xml:space="preserve"> зачете</w:t>
      </w:r>
      <w:r w:rsidR="00B10764" w:rsidRPr="00B10764">
        <w:t xml:space="preserve"> </w:t>
      </w:r>
      <w:r w:rsidR="00862C2B" w:rsidRPr="00862C2B">
        <w:rPr>
          <w:rFonts w:ascii="Arial" w:hAnsi="Arial" w:cs="Arial"/>
        </w:rPr>
        <w:t>по олимпийской системе с утешением (до двух поражений)</w:t>
      </w:r>
      <w:r w:rsidR="00B10764">
        <w:rPr>
          <w:rFonts w:ascii="Arial" w:hAnsi="Arial" w:cs="Arial"/>
        </w:rPr>
        <w:t>,</w:t>
      </w:r>
      <w:r w:rsidR="00941CFA">
        <w:rPr>
          <w:rFonts w:ascii="Arial" w:hAnsi="Arial" w:cs="Arial"/>
        </w:rPr>
        <w:t xml:space="preserve"> </w:t>
      </w:r>
      <w:r w:rsidR="00B10764">
        <w:rPr>
          <w:rFonts w:ascii="Arial" w:hAnsi="Arial" w:cs="Arial"/>
        </w:rPr>
        <w:t>мужчины и женщины отдельно</w:t>
      </w:r>
      <w:r w:rsidR="0084632E">
        <w:rPr>
          <w:rFonts w:ascii="Arial" w:hAnsi="Arial" w:cs="Arial"/>
        </w:rPr>
        <w:t>.</w:t>
      </w:r>
      <w:r w:rsidR="00B10764">
        <w:rPr>
          <w:rFonts w:ascii="Arial" w:hAnsi="Arial" w:cs="Arial"/>
        </w:rPr>
        <w:t xml:space="preserve"> </w:t>
      </w:r>
      <w:r w:rsidR="00B87C5C">
        <w:rPr>
          <w:rFonts w:ascii="Arial" w:hAnsi="Arial" w:cs="Arial"/>
        </w:rPr>
        <w:t>В</w:t>
      </w:r>
      <w:r w:rsidR="0084632E">
        <w:rPr>
          <w:rFonts w:ascii="Arial" w:hAnsi="Arial" w:cs="Arial"/>
        </w:rPr>
        <w:t>се</w:t>
      </w:r>
      <w:r w:rsidR="00B87C5C">
        <w:rPr>
          <w:rFonts w:ascii="Arial" w:hAnsi="Arial" w:cs="Arial"/>
        </w:rPr>
        <w:t>м зарегистрированным участникам</w:t>
      </w:r>
      <w:r w:rsidR="00722DC6">
        <w:rPr>
          <w:rFonts w:ascii="Arial" w:hAnsi="Arial" w:cs="Arial"/>
        </w:rPr>
        <w:t xml:space="preserve"> присваиваются номера в соответствии с рейтингом по итогам прошедших чемпионатов. Если игрок принимает участие в турнире впервые, то он получает номер в конце списка в соответствии с датой подачи заявки на турнир (кто из новичков раньше подаст заявку на игру, тот будет выше по списку чем новичок, подавший заявку позже). По окончании регистрации игроков, составляются пары (мужчины и женщины отдельно) по принципу: первый с последним, второй с предпоследним и т.д.</w:t>
      </w:r>
      <w:r w:rsidR="004259C5">
        <w:rPr>
          <w:rFonts w:ascii="Arial" w:hAnsi="Arial" w:cs="Arial"/>
        </w:rPr>
        <w:t xml:space="preserve"> После </w:t>
      </w:r>
      <w:r w:rsidR="00862C2B">
        <w:rPr>
          <w:rFonts w:ascii="Arial" w:hAnsi="Arial" w:cs="Arial"/>
        </w:rPr>
        <w:t xml:space="preserve">регистрации всех участников и составления пар игроков </w:t>
      </w:r>
      <w:r w:rsidR="004259C5">
        <w:rPr>
          <w:rFonts w:ascii="Arial" w:hAnsi="Arial" w:cs="Arial"/>
        </w:rPr>
        <w:t>создаётся игровая сетка для прове</w:t>
      </w:r>
      <w:r w:rsidR="00862C2B">
        <w:rPr>
          <w:rFonts w:ascii="Arial" w:hAnsi="Arial" w:cs="Arial"/>
        </w:rPr>
        <w:t>дения соревнования</w:t>
      </w:r>
      <w:r w:rsidR="004259C5">
        <w:rPr>
          <w:rFonts w:ascii="Arial" w:hAnsi="Arial" w:cs="Arial"/>
        </w:rPr>
        <w:t xml:space="preserve">. Победившие в своих встречах игроки будут идти к финалу по сетке соревнования. </w:t>
      </w:r>
      <w:r w:rsidR="00941D5A">
        <w:rPr>
          <w:rFonts w:ascii="Arial" w:hAnsi="Arial" w:cs="Arial"/>
        </w:rPr>
        <w:t>Проигравшие один раз игроки, имеют возможность продолжить турнир до второго поражения.</w:t>
      </w:r>
    </w:p>
    <w:p w:rsidR="00641D93" w:rsidRDefault="0023138A" w:rsidP="00641D93">
      <w:pPr>
        <w:spacing w:after="0"/>
        <w:ind w:firstLine="708"/>
        <w:jc w:val="both"/>
        <w:rPr>
          <w:rFonts w:ascii="Arial" w:hAnsi="Arial" w:cs="Arial"/>
        </w:rPr>
      </w:pPr>
      <w:r>
        <w:rPr>
          <w:rFonts w:ascii="Arial" w:hAnsi="Arial" w:cs="Arial"/>
        </w:rPr>
        <w:t xml:space="preserve">Участники соревнования, оказавшиеся в одной паре, должны договориться о дате и </w:t>
      </w:r>
      <w:r w:rsidR="00AC7521">
        <w:rPr>
          <w:rFonts w:ascii="Arial" w:hAnsi="Arial" w:cs="Arial"/>
        </w:rPr>
        <w:t>времени игры,</w:t>
      </w:r>
      <w:r>
        <w:rPr>
          <w:rFonts w:ascii="Arial" w:hAnsi="Arial" w:cs="Arial"/>
        </w:rPr>
        <w:t xml:space="preserve"> </w:t>
      </w:r>
      <w:r w:rsidR="00AC7521">
        <w:rPr>
          <w:rFonts w:ascii="Arial" w:hAnsi="Arial" w:cs="Arial"/>
        </w:rPr>
        <w:t xml:space="preserve">а также </w:t>
      </w:r>
      <w:r w:rsidR="0059318A">
        <w:rPr>
          <w:rFonts w:ascii="Arial" w:hAnsi="Arial" w:cs="Arial"/>
        </w:rPr>
        <w:t xml:space="preserve">о </w:t>
      </w:r>
      <w:r w:rsidR="00AC7521">
        <w:rPr>
          <w:rFonts w:ascii="Arial" w:hAnsi="Arial" w:cs="Arial"/>
        </w:rPr>
        <w:t>платформе</w:t>
      </w:r>
      <w:r w:rsidR="0059318A">
        <w:rPr>
          <w:rFonts w:ascii="Arial" w:hAnsi="Arial" w:cs="Arial"/>
        </w:rPr>
        <w:t>,</w:t>
      </w:r>
      <w:r w:rsidR="00AC7521">
        <w:rPr>
          <w:rFonts w:ascii="Arial" w:hAnsi="Arial" w:cs="Arial"/>
        </w:rPr>
        <w:t xml:space="preserve"> на которой будет проходить видеоконференция или видеочат. </w:t>
      </w:r>
      <w:r w:rsidR="002B2301">
        <w:rPr>
          <w:rFonts w:ascii="Arial" w:hAnsi="Arial" w:cs="Arial"/>
        </w:rPr>
        <w:t xml:space="preserve">Ответственным за открытие видеочата, заполнение и отправку протокола судейской коллегии является игрок, записанный в протоколе первым. </w:t>
      </w:r>
      <w:r w:rsidR="000824AE">
        <w:rPr>
          <w:rFonts w:ascii="Arial" w:hAnsi="Arial" w:cs="Arial"/>
        </w:rPr>
        <w:t>Перед игрой соперники проверяют друг у друга в видеочате соответствие игров</w:t>
      </w:r>
      <w:r w:rsidR="00AC7521">
        <w:rPr>
          <w:rFonts w:ascii="Arial" w:hAnsi="Arial" w:cs="Arial"/>
        </w:rPr>
        <w:t>ого инвентаря</w:t>
      </w:r>
      <w:r w:rsidR="000824AE">
        <w:rPr>
          <w:rFonts w:ascii="Arial" w:hAnsi="Arial" w:cs="Arial"/>
        </w:rPr>
        <w:t xml:space="preserve"> требованиям данного чемпионата.</w:t>
      </w:r>
      <w:r w:rsidR="001B2D81">
        <w:rPr>
          <w:rFonts w:ascii="Arial" w:hAnsi="Arial" w:cs="Arial"/>
        </w:rPr>
        <w:t xml:space="preserve"> </w:t>
      </w:r>
      <w:r w:rsidR="005C2C63">
        <w:rPr>
          <w:rFonts w:ascii="Arial" w:hAnsi="Arial" w:cs="Arial"/>
        </w:rPr>
        <w:t>Каждая отдельная встреча двух игроков будет проходить до победы в 11 сетах. Максимальное количество сетов может быть – 21. Образец протокола в приложении 1.</w:t>
      </w:r>
      <w:r w:rsidR="0059318A">
        <w:rPr>
          <w:rFonts w:ascii="Arial" w:hAnsi="Arial" w:cs="Arial"/>
        </w:rPr>
        <w:t xml:space="preserve"> Начинает игру спортсмен, записанный в протоколе первым. Нечётные сеты </w:t>
      </w:r>
      <w:r w:rsidR="004801FA">
        <w:rPr>
          <w:rFonts w:ascii="Arial" w:hAnsi="Arial" w:cs="Arial"/>
        </w:rPr>
        <w:t xml:space="preserve">(отмеченные звёздочкой * в протоколе) </w:t>
      </w:r>
      <w:r w:rsidR="0059318A">
        <w:rPr>
          <w:rFonts w:ascii="Arial" w:hAnsi="Arial" w:cs="Arial"/>
        </w:rPr>
        <w:t>начинает один игрок, а чётные другой.</w:t>
      </w:r>
      <w:r w:rsidR="004801FA">
        <w:rPr>
          <w:rFonts w:ascii="Arial" w:hAnsi="Arial" w:cs="Arial"/>
        </w:rPr>
        <w:t xml:space="preserve"> После окончания каждого сеты, соревнующиеся стороны должны подтверждать правильность заполнения протокола и счёт игры.</w:t>
      </w:r>
      <w:r w:rsidR="00941D5A">
        <w:rPr>
          <w:rFonts w:ascii="Arial" w:hAnsi="Arial" w:cs="Arial"/>
        </w:rPr>
        <w:t xml:space="preserve"> В протоколе есть столбик «количество штосов», в который необходимо записывать количество подходов в сете, где удалось забить все восемь своих пешек в лузы</w:t>
      </w:r>
      <w:r w:rsidR="006A071A">
        <w:rPr>
          <w:rFonts w:ascii="Arial" w:hAnsi="Arial" w:cs="Arial"/>
        </w:rPr>
        <w:t xml:space="preserve"> без передачи хода сопернику.</w:t>
      </w:r>
    </w:p>
    <w:p w:rsidR="004801FA" w:rsidRDefault="004801FA" w:rsidP="00641D93">
      <w:pPr>
        <w:spacing w:after="0"/>
        <w:ind w:firstLine="708"/>
        <w:jc w:val="both"/>
        <w:rPr>
          <w:rFonts w:ascii="Arial" w:hAnsi="Arial" w:cs="Arial"/>
        </w:rPr>
      </w:pPr>
      <w:r>
        <w:rPr>
          <w:rFonts w:ascii="Arial" w:hAnsi="Arial" w:cs="Arial"/>
        </w:rPr>
        <w:t>Результаты проведённых встреч, а также составление пар игроков, м</w:t>
      </w:r>
      <w:r w:rsidR="00A45D1C">
        <w:rPr>
          <w:rFonts w:ascii="Arial" w:hAnsi="Arial" w:cs="Arial"/>
        </w:rPr>
        <w:t>ожно увидеть, пройдя по ссылке, которая будет указана позднее на сайте и в соц.сетях.</w:t>
      </w:r>
    </w:p>
    <w:p w:rsidR="00641D93" w:rsidRDefault="00641D93" w:rsidP="00641D93">
      <w:pPr>
        <w:spacing w:after="0"/>
        <w:jc w:val="both"/>
        <w:rPr>
          <w:rFonts w:ascii="Arial" w:hAnsi="Arial" w:cs="Arial"/>
        </w:rPr>
      </w:pPr>
    </w:p>
    <w:p w:rsidR="00B10764" w:rsidRDefault="0084632E" w:rsidP="00641D93">
      <w:pPr>
        <w:spacing w:after="0"/>
        <w:jc w:val="both"/>
        <w:rPr>
          <w:rFonts w:ascii="Arial" w:hAnsi="Arial" w:cs="Arial"/>
        </w:rPr>
      </w:pPr>
      <w:r>
        <w:rPr>
          <w:rFonts w:ascii="Arial" w:hAnsi="Arial" w:cs="Arial"/>
        </w:rPr>
        <w:t>6. ПРАВИЛА ИГРЫ</w:t>
      </w:r>
    </w:p>
    <w:p w:rsidR="00232C83" w:rsidRDefault="0084632E" w:rsidP="00B10764">
      <w:pPr>
        <w:spacing w:after="0"/>
        <w:ind w:firstLine="708"/>
        <w:jc w:val="both"/>
        <w:rPr>
          <w:rFonts w:ascii="Arial" w:hAnsi="Arial" w:cs="Arial"/>
        </w:rPr>
      </w:pPr>
      <w:r>
        <w:rPr>
          <w:rFonts w:ascii="Arial" w:hAnsi="Arial" w:cs="Arial"/>
        </w:rPr>
        <w:t>Соревнования проводятся в соответствии с правилами игры, утвержденны</w:t>
      </w:r>
      <w:r w:rsidR="0059318A">
        <w:rPr>
          <w:rFonts w:ascii="Arial" w:hAnsi="Arial" w:cs="Arial"/>
        </w:rPr>
        <w:t>ми ФНСИР для данного чемпионата.</w:t>
      </w:r>
    </w:p>
    <w:p w:rsidR="00756AD8" w:rsidRDefault="00756AD8" w:rsidP="00030510">
      <w:pPr>
        <w:spacing w:after="0"/>
        <w:jc w:val="both"/>
        <w:rPr>
          <w:rFonts w:ascii="Arial" w:hAnsi="Arial" w:cs="Arial"/>
        </w:rPr>
      </w:pPr>
    </w:p>
    <w:p w:rsidR="00856487" w:rsidRDefault="0084632E" w:rsidP="00030510">
      <w:pPr>
        <w:spacing w:after="0"/>
        <w:jc w:val="both"/>
        <w:rPr>
          <w:rFonts w:ascii="Arial" w:hAnsi="Arial" w:cs="Arial"/>
        </w:rPr>
      </w:pPr>
      <w:r>
        <w:rPr>
          <w:rFonts w:ascii="Arial" w:hAnsi="Arial" w:cs="Arial"/>
        </w:rPr>
        <w:t>7. ОПРЕДЕЛЕНИЕ ПОБЕДИТЕЛЕЙ</w:t>
      </w:r>
    </w:p>
    <w:p w:rsidR="00856487" w:rsidRDefault="0084632E" w:rsidP="000824AE">
      <w:pPr>
        <w:spacing w:after="0"/>
        <w:ind w:firstLine="708"/>
        <w:jc w:val="both"/>
        <w:rPr>
          <w:rFonts w:ascii="Arial" w:hAnsi="Arial" w:cs="Arial"/>
        </w:rPr>
      </w:pPr>
      <w:r>
        <w:rPr>
          <w:rFonts w:ascii="Arial" w:hAnsi="Arial" w:cs="Arial"/>
        </w:rPr>
        <w:t xml:space="preserve">Первое место в личном зачете </w:t>
      </w:r>
      <w:r w:rsidR="001B42FC">
        <w:rPr>
          <w:rFonts w:ascii="Arial" w:hAnsi="Arial" w:cs="Arial"/>
        </w:rPr>
        <w:t xml:space="preserve">(мужском и женском отдельно) </w:t>
      </w:r>
      <w:r>
        <w:rPr>
          <w:rFonts w:ascii="Arial" w:hAnsi="Arial" w:cs="Arial"/>
        </w:rPr>
        <w:t xml:space="preserve">занимает игрок, </w:t>
      </w:r>
      <w:r w:rsidR="001B42FC">
        <w:rPr>
          <w:rFonts w:ascii="Arial" w:hAnsi="Arial" w:cs="Arial"/>
        </w:rPr>
        <w:t>победивший в финале</w:t>
      </w:r>
      <w:r>
        <w:rPr>
          <w:rFonts w:ascii="Arial" w:hAnsi="Arial" w:cs="Arial"/>
        </w:rPr>
        <w:t xml:space="preserve"> турнира.</w:t>
      </w:r>
      <w:r w:rsidR="001B42FC">
        <w:rPr>
          <w:rFonts w:ascii="Arial" w:hAnsi="Arial" w:cs="Arial"/>
        </w:rPr>
        <w:t xml:space="preserve"> Проигравший в финале занимает второе место. Проигравшие в полуфинале разыгрывают третье место.</w:t>
      </w:r>
    </w:p>
    <w:p w:rsidR="00856487" w:rsidRDefault="00856487" w:rsidP="00030510">
      <w:pPr>
        <w:spacing w:after="0"/>
        <w:jc w:val="both"/>
        <w:rPr>
          <w:rFonts w:ascii="Arial" w:hAnsi="Arial" w:cs="Arial"/>
        </w:rPr>
      </w:pPr>
    </w:p>
    <w:p w:rsidR="00856487" w:rsidRDefault="0084632E" w:rsidP="00030510">
      <w:pPr>
        <w:spacing w:after="0"/>
        <w:jc w:val="both"/>
        <w:rPr>
          <w:rFonts w:ascii="Arial" w:hAnsi="Arial" w:cs="Arial"/>
        </w:rPr>
      </w:pPr>
      <w:r>
        <w:rPr>
          <w:rFonts w:ascii="Arial" w:hAnsi="Arial" w:cs="Arial"/>
        </w:rPr>
        <w:t>8. НАГРАЖДЕНИЕ</w:t>
      </w:r>
    </w:p>
    <w:p w:rsidR="00D800A6" w:rsidRPr="00605C2F" w:rsidRDefault="0084632E" w:rsidP="00605C2F">
      <w:pPr>
        <w:spacing w:after="0"/>
        <w:ind w:firstLine="708"/>
        <w:jc w:val="both"/>
        <w:rPr>
          <w:rFonts w:ascii="Arial" w:hAnsi="Arial" w:cs="Arial"/>
        </w:rPr>
      </w:pPr>
      <w:r>
        <w:rPr>
          <w:rFonts w:ascii="Arial" w:hAnsi="Arial" w:cs="Arial"/>
        </w:rPr>
        <w:t>Все участники соревнования получают сертификаты участника. Игроки, занявшие призовые места, награждаются призами и диплом</w:t>
      </w:r>
      <w:r w:rsidR="00D800A6">
        <w:rPr>
          <w:rFonts w:ascii="Arial" w:hAnsi="Arial" w:cs="Arial"/>
        </w:rPr>
        <w:t>ами отдельно мужчины и женщины.</w:t>
      </w:r>
      <w:r>
        <w:rPr>
          <w:rFonts w:ascii="Arial" w:hAnsi="Arial" w:cs="Arial"/>
        </w:rPr>
        <w:t xml:space="preserve"> Победители в личном зачете среди мужчин и женщин получают чемпионское кольцо, медаль, диплом.</w:t>
      </w:r>
      <w:r w:rsidR="00D800A6">
        <w:rPr>
          <w:rFonts w:ascii="Arial" w:hAnsi="Arial" w:cs="Arial"/>
        </w:rPr>
        <w:t xml:space="preserve"> Отдельно будут отмечены игроки</w:t>
      </w:r>
      <w:r w:rsidR="00605C2F">
        <w:rPr>
          <w:rFonts w:ascii="Arial" w:hAnsi="Arial" w:cs="Arial"/>
        </w:rPr>
        <w:t>,</w:t>
      </w:r>
      <w:r w:rsidR="00D800A6">
        <w:rPr>
          <w:rFonts w:ascii="Arial" w:hAnsi="Arial" w:cs="Arial"/>
        </w:rPr>
        <w:t xml:space="preserve"> заня</w:t>
      </w:r>
      <w:r w:rsidR="00605C2F">
        <w:rPr>
          <w:rFonts w:ascii="Arial" w:hAnsi="Arial" w:cs="Arial"/>
        </w:rPr>
        <w:t xml:space="preserve">вшие призовые места в номинации </w:t>
      </w:r>
      <w:r w:rsidR="00D800A6" w:rsidRPr="00605C2F">
        <w:rPr>
          <w:rFonts w:ascii="Arial" w:hAnsi="Arial" w:cs="Arial"/>
        </w:rPr>
        <w:t xml:space="preserve">«Лучший снайпер» - игрок, имеющий лучший показатель </w:t>
      </w:r>
      <w:r w:rsidR="0059318A" w:rsidRPr="00605C2F">
        <w:rPr>
          <w:rFonts w:ascii="Arial" w:hAnsi="Arial" w:cs="Arial"/>
        </w:rPr>
        <w:t>забитых «восьмёрок» или «штосов»</w:t>
      </w:r>
      <w:r w:rsidR="00605C2F" w:rsidRPr="00605C2F">
        <w:rPr>
          <w:rFonts w:ascii="Arial" w:hAnsi="Arial" w:cs="Arial"/>
        </w:rPr>
        <w:t xml:space="preserve"> по отношению к сыгранным в каждой отдельной игре сетов.</w:t>
      </w:r>
    </w:p>
    <w:p w:rsidR="00856487" w:rsidRDefault="00856487" w:rsidP="00FD2919">
      <w:pPr>
        <w:spacing w:after="0"/>
        <w:jc w:val="center"/>
        <w:rPr>
          <w:rFonts w:ascii="Arial" w:hAnsi="Arial" w:cs="Arial"/>
        </w:rPr>
      </w:pPr>
    </w:p>
    <w:p w:rsidR="005954BC" w:rsidRDefault="005954BC" w:rsidP="00030510">
      <w:pPr>
        <w:jc w:val="both"/>
      </w:pPr>
    </w:p>
    <w:p w:rsidR="005C2C63" w:rsidRPr="005C2C63" w:rsidRDefault="0023138A" w:rsidP="005C2C63">
      <w:pPr>
        <w:spacing w:after="0"/>
        <w:jc w:val="center"/>
        <w:rPr>
          <w:rFonts w:ascii="Arial" w:hAnsi="Arial" w:cs="Arial"/>
        </w:rPr>
      </w:pPr>
      <w:r>
        <w:rPr>
          <w:rFonts w:ascii="Arial" w:hAnsi="Arial" w:cs="Arial"/>
        </w:rPr>
        <w:t xml:space="preserve">Приложение 1 </w:t>
      </w:r>
      <w:r w:rsidR="005C2C63" w:rsidRPr="005C2C63">
        <w:rPr>
          <w:rFonts w:ascii="Arial" w:hAnsi="Arial" w:cs="Arial"/>
        </w:rPr>
        <w:t>«Образец заполнения протокола соревнования»</w:t>
      </w:r>
    </w:p>
    <w:tbl>
      <w:tblPr>
        <w:tblStyle w:val="a4"/>
        <w:tblpPr w:leftFromText="180" w:rightFromText="180" w:vertAnchor="page" w:horzAnchor="margin" w:tblpXSpec="center" w:tblpY="2305"/>
        <w:tblW w:w="7814" w:type="dxa"/>
        <w:tblLook w:val="04A0" w:firstRow="1" w:lastRow="0" w:firstColumn="1" w:lastColumn="0" w:noHBand="0" w:noVBand="1"/>
      </w:tblPr>
      <w:tblGrid>
        <w:gridCol w:w="1388"/>
        <w:gridCol w:w="1426"/>
        <w:gridCol w:w="1735"/>
        <w:gridCol w:w="1703"/>
        <w:gridCol w:w="1562"/>
      </w:tblGrid>
      <w:tr w:rsidR="005C2C63" w:rsidRPr="00617397" w:rsidTr="001B5643">
        <w:trPr>
          <w:trHeight w:val="508"/>
        </w:trPr>
        <w:tc>
          <w:tcPr>
            <w:tcW w:w="1436" w:type="dxa"/>
            <w:vMerge w:val="restart"/>
            <w:vAlign w:val="center"/>
          </w:tcPr>
          <w:p w:rsidR="005C2C63" w:rsidRPr="00617397" w:rsidRDefault="005C2C63" w:rsidP="001B5643">
            <w:pPr>
              <w:jc w:val="center"/>
              <w:rPr>
                <w:rFonts w:ascii="Times New Roman" w:hAnsi="Times New Roman" w:cs="Times New Roman"/>
                <w:b/>
                <w:sz w:val="28"/>
                <w:szCs w:val="28"/>
              </w:rPr>
            </w:pPr>
            <w:r w:rsidRPr="00617397">
              <w:rPr>
                <w:rFonts w:ascii="Times New Roman" w:hAnsi="Times New Roman" w:cs="Times New Roman"/>
                <w:b/>
                <w:sz w:val="28"/>
                <w:szCs w:val="28"/>
              </w:rPr>
              <w:lastRenderedPageBreak/>
              <w:t>№ сета</w:t>
            </w:r>
          </w:p>
        </w:tc>
        <w:tc>
          <w:tcPr>
            <w:tcW w:w="3189" w:type="dxa"/>
            <w:gridSpan w:val="2"/>
          </w:tcPr>
          <w:p w:rsidR="005C2C63" w:rsidRPr="00617397" w:rsidRDefault="005C2C63" w:rsidP="001B5643">
            <w:pPr>
              <w:jc w:val="center"/>
              <w:rPr>
                <w:rFonts w:ascii="Times New Roman" w:hAnsi="Times New Roman" w:cs="Times New Roman"/>
                <w:b/>
                <w:bCs/>
                <w:sz w:val="36"/>
                <w:szCs w:val="36"/>
              </w:rPr>
            </w:pPr>
            <w:r w:rsidRPr="00617397">
              <w:rPr>
                <w:rFonts w:ascii="Times New Roman" w:hAnsi="Times New Roman" w:cs="Times New Roman"/>
                <w:b/>
                <w:bCs/>
                <w:sz w:val="36"/>
                <w:szCs w:val="36"/>
              </w:rPr>
              <w:t>Иванов Сергей</w:t>
            </w:r>
            <w:r w:rsidR="00605C2F">
              <w:rPr>
                <w:rFonts w:ascii="Times New Roman" w:hAnsi="Times New Roman" w:cs="Times New Roman"/>
                <w:b/>
                <w:bCs/>
                <w:sz w:val="36"/>
                <w:szCs w:val="36"/>
              </w:rPr>
              <w:t>*</w:t>
            </w:r>
          </w:p>
        </w:tc>
        <w:tc>
          <w:tcPr>
            <w:tcW w:w="3189" w:type="dxa"/>
            <w:gridSpan w:val="2"/>
          </w:tcPr>
          <w:p w:rsidR="005C2C63" w:rsidRPr="00617397" w:rsidRDefault="005C2C63" w:rsidP="001B5643">
            <w:pPr>
              <w:jc w:val="center"/>
              <w:rPr>
                <w:rFonts w:ascii="Times New Roman" w:hAnsi="Times New Roman" w:cs="Times New Roman"/>
                <w:b/>
                <w:bCs/>
                <w:sz w:val="36"/>
                <w:szCs w:val="36"/>
              </w:rPr>
            </w:pPr>
            <w:r w:rsidRPr="00617397">
              <w:rPr>
                <w:rFonts w:ascii="Times New Roman" w:hAnsi="Times New Roman" w:cs="Times New Roman"/>
                <w:b/>
                <w:bCs/>
                <w:sz w:val="36"/>
                <w:szCs w:val="36"/>
              </w:rPr>
              <w:t>Петров Александр</w:t>
            </w:r>
          </w:p>
        </w:tc>
      </w:tr>
      <w:tr w:rsidR="005C2C63" w:rsidRPr="00617397" w:rsidTr="001B5643">
        <w:trPr>
          <w:trHeight w:val="480"/>
        </w:trPr>
        <w:tc>
          <w:tcPr>
            <w:tcW w:w="1436" w:type="dxa"/>
            <w:vMerge/>
          </w:tcPr>
          <w:p w:rsidR="005C2C63" w:rsidRPr="00617397" w:rsidRDefault="005C2C63" w:rsidP="001B5643">
            <w:pPr>
              <w:jc w:val="center"/>
              <w:rPr>
                <w:rFonts w:ascii="Times New Roman" w:hAnsi="Times New Roman" w:cs="Times New Roman"/>
              </w:rPr>
            </w:pPr>
          </w:p>
        </w:tc>
        <w:tc>
          <w:tcPr>
            <w:tcW w:w="1401" w:type="dxa"/>
          </w:tcPr>
          <w:p w:rsidR="005C2C63" w:rsidRPr="00617397" w:rsidRDefault="00605C2F" w:rsidP="001B5643">
            <w:pPr>
              <w:jc w:val="center"/>
              <w:rPr>
                <w:rFonts w:ascii="Times New Roman" w:hAnsi="Times New Roman" w:cs="Times New Roman"/>
                <w:b/>
                <w:sz w:val="28"/>
                <w:szCs w:val="28"/>
              </w:rPr>
            </w:pPr>
            <w:r>
              <w:rPr>
                <w:rFonts w:ascii="Times New Roman" w:hAnsi="Times New Roman" w:cs="Times New Roman"/>
                <w:b/>
                <w:sz w:val="28"/>
                <w:szCs w:val="28"/>
              </w:rPr>
              <w:t>Кол-во «штосов»</w:t>
            </w:r>
          </w:p>
        </w:tc>
        <w:tc>
          <w:tcPr>
            <w:tcW w:w="1788" w:type="dxa"/>
          </w:tcPr>
          <w:p w:rsidR="005C2C63" w:rsidRPr="00617397" w:rsidRDefault="005C2C63" w:rsidP="001B5643">
            <w:pPr>
              <w:jc w:val="center"/>
              <w:rPr>
                <w:rFonts w:ascii="Times New Roman" w:hAnsi="Times New Roman" w:cs="Times New Roman"/>
                <w:b/>
                <w:sz w:val="28"/>
                <w:szCs w:val="28"/>
              </w:rPr>
            </w:pPr>
            <w:r w:rsidRPr="00617397">
              <w:rPr>
                <w:rFonts w:ascii="Times New Roman" w:hAnsi="Times New Roman" w:cs="Times New Roman"/>
                <w:b/>
                <w:sz w:val="28"/>
                <w:szCs w:val="28"/>
              </w:rPr>
              <w:t>Результаты сетов</w:t>
            </w:r>
          </w:p>
        </w:tc>
        <w:tc>
          <w:tcPr>
            <w:tcW w:w="1401" w:type="dxa"/>
          </w:tcPr>
          <w:p w:rsidR="005C2C63" w:rsidRPr="00617397" w:rsidRDefault="005C2C63" w:rsidP="001B5643">
            <w:pPr>
              <w:jc w:val="center"/>
              <w:rPr>
                <w:rFonts w:ascii="Times New Roman" w:hAnsi="Times New Roman" w:cs="Times New Roman"/>
                <w:b/>
                <w:sz w:val="28"/>
                <w:szCs w:val="28"/>
              </w:rPr>
            </w:pPr>
            <w:r w:rsidRPr="00617397">
              <w:rPr>
                <w:rFonts w:ascii="Times New Roman" w:hAnsi="Times New Roman" w:cs="Times New Roman"/>
                <w:b/>
                <w:sz w:val="28"/>
                <w:szCs w:val="28"/>
              </w:rPr>
              <w:t>Результат</w:t>
            </w:r>
            <w:r>
              <w:rPr>
                <w:rFonts w:ascii="Times New Roman" w:hAnsi="Times New Roman" w:cs="Times New Roman"/>
                <w:b/>
                <w:sz w:val="28"/>
                <w:szCs w:val="28"/>
              </w:rPr>
              <w:t>ы сетов</w:t>
            </w:r>
          </w:p>
        </w:tc>
        <w:tc>
          <w:tcPr>
            <w:tcW w:w="1788" w:type="dxa"/>
          </w:tcPr>
          <w:p w:rsidR="005C2C63" w:rsidRPr="00617397" w:rsidRDefault="005C2C63" w:rsidP="00605C2F">
            <w:pPr>
              <w:jc w:val="center"/>
              <w:rPr>
                <w:rFonts w:ascii="Times New Roman" w:hAnsi="Times New Roman" w:cs="Times New Roman"/>
                <w:b/>
                <w:sz w:val="28"/>
                <w:szCs w:val="28"/>
              </w:rPr>
            </w:pPr>
            <w:r w:rsidRPr="00617397">
              <w:rPr>
                <w:rFonts w:ascii="Times New Roman" w:hAnsi="Times New Roman" w:cs="Times New Roman"/>
                <w:b/>
                <w:sz w:val="28"/>
                <w:szCs w:val="28"/>
              </w:rPr>
              <w:t xml:space="preserve">Кол-во </w:t>
            </w:r>
            <w:r w:rsidR="00605C2F">
              <w:rPr>
                <w:rFonts w:ascii="Times New Roman" w:hAnsi="Times New Roman" w:cs="Times New Roman"/>
                <w:b/>
                <w:sz w:val="28"/>
                <w:szCs w:val="28"/>
              </w:rPr>
              <w:t>«штосов»</w:t>
            </w:r>
          </w:p>
        </w:tc>
      </w:tr>
      <w:tr w:rsidR="005C2C63" w:rsidRPr="00617397" w:rsidTr="001B5643">
        <w:trPr>
          <w:trHeight w:val="480"/>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1</w:t>
            </w:r>
            <w:r w:rsidR="00605C2F">
              <w:rPr>
                <w:rFonts w:ascii="Times New Roman" w:hAnsi="Times New Roman" w:cs="Times New Roman"/>
                <w:sz w:val="40"/>
                <w:szCs w:val="40"/>
              </w:rPr>
              <w:t>*</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2</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r>
      <w:tr w:rsidR="005C2C63" w:rsidRPr="00617397" w:rsidTr="001B5643">
        <w:trPr>
          <w:trHeight w:val="480"/>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3</w:t>
            </w:r>
            <w:r w:rsidR="00605C2F">
              <w:rPr>
                <w:rFonts w:ascii="Times New Roman" w:hAnsi="Times New Roman" w:cs="Times New Roman"/>
                <w:sz w:val="40"/>
                <w:szCs w:val="40"/>
              </w:rPr>
              <w:t>*</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4</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3</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r>
      <w:tr w:rsidR="005C2C63" w:rsidRPr="00617397" w:rsidTr="001B5643">
        <w:trPr>
          <w:trHeight w:val="480"/>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5</w:t>
            </w:r>
            <w:r w:rsidR="00605C2F">
              <w:rPr>
                <w:rFonts w:ascii="Times New Roman" w:hAnsi="Times New Roman" w:cs="Times New Roman"/>
                <w:sz w:val="40"/>
                <w:szCs w:val="40"/>
              </w:rPr>
              <w:t>*</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4</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6</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4</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7</w:t>
            </w:r>
            <w:r w:rsidR="00605C2F">
              <w:rPr>
                <w:rFonts w:ascii="Times New Roman" w:hAnsi="Times New Roman" w:cs="Times New Roman"/>
                <w:sz w:val="40"/>
                <w:szCs w:val="40"/>
              </w:rPr>
              <w:t>*</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4</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5</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r>
      <w:tr w:rsidR="005C2C63" w:rsidRPr="00617397" w:rsidTr="001B5643">
        <w:trPr>
          <w:trHeight w:val="480"/>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8</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5</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3</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9</w:t>
            </w:r>
            <w:r w:rsidR="00605C2F">
              <w:rPr>
                <w:rFonts w:ascii="Times New Roman" w:hAnsi="Times New Roman" w:cs="Times New Roman"/>
                <w:sz w:val="40"/>
                <w:szCs w:val="40"/>
              </w:rPr>
              <w:t>*</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5</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4</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r>
      <w:tr w:rsidR="005C2C63" w:rsidRPr="00617397" w:rsidTr="001B5643">
        <w:trPr>
          <w:trHeight w:val="480"/>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10</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5</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5</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11</w:t>
            </w:r>
            <w:r w:rsidR="00605C2F">
              <w:rPr>
                <w:rFonts w:ascii="Times New Roman" w:hAnsi="Times New Roman" w:cs="Times New Roman"/>
                <w:sz w:val="40"/>
                <w:szCs w:val="40"/>
              </w:rPr>
              <w:t>*</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3</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6</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5</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r>
      <w:tr w:rsidR="005C2C63" w:rsidRPr="00617397" w:rsidTr="001B5643">
        <w:trPr>
          <w:trHeight w:val="480"/>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12</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7</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5</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13</w:t>
            </w:r>
            <w:r w:rsidR="00605C2F">
              <w:rPr>
                <w:rFonts w:ascii="Times New Roman" w:hAnsi="Times New Roman" w:cs="Times New Roman"/>
                <w:sz w:val="40"/>
                <w:szCs w:val="40"/>
              </w:rPr>
              <w:t>*</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3</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8</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5</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14</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8</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6</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r>
      <w:tr w:rsidR="005C2C63" w:rsidRPr="00617397" w:rsidTr="001B5643">
        <w:trPr>
          <w:trHeight w:val="480"/>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15</w:t>
            </w:r>
            <w:r w:rsidR="00605C2F">
              <w:rPr>
                <w:rFonts w:ascii="Times New Roman" w:hAnsi="Times New Roman" w:cs="Times New Roman"/>
                <w:sz w:val="40"/>
                <w:szCs w:val="40"/>
              </w:rPr>
              <w:t>*</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9</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6</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16</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9</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7</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r>
      <w:tr w:rsidR="005C2C63" w:rsidRPr="00617397" w:rsidTr="001B5643">
        <w:trPr>
          <w:trHeight w:val="480"/>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17</w:t>
            </w:r>
            <w:r w:rsidR="00605C2F">
              <w:rPr>
                <w:rFonts w:ascii="Times New Roman" w:hAnsi="Times New Roman" w:cs="Times New Roman"/>
                <w:sz w:val="40"/>
                <w:szCs w:val="40"/>
              </w:rPr>
              <w:t>*</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9</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8</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3</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18</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10</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8</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r>
      <w:tr w:rsidR="005C2C63" w:rsidRPr="00617397" w:rsidTr="001B5643">
        <w:trPr>
          <w:trHeight w:val="480"/>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19</w:t>
            </w:r>
            <w:r w:rsidR="00605C2F">
              <w:rPr>
                <w:rFonts w:ascii="Times New Roman" w:hAnsi="Times New Roman" w:cs="Times New Roman"/>
                <w:sz w:val="40"/>
                <w:szCs w:val="40"/>
              </w:rPr>
              <w:t>*</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10</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9</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20</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10</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sz w:val="40"/>
                <w:szCs w:val="40"/>
              </w:rPr>
            </w:pPr>
            <w:r w:rsidRPr="00617397">
              <w:rPr>
                <w:rFonts w:ascii="Times New Roman" w:hAnsi="Times New Roman" w:cs="Times New Roman"/>
                <w:sz w:val="40"/>
                <w:szCs w:val="40"/>
              </w:rPr>
              <w:t>21</w:t>
            </w:r>
            <w:r w:rsidR="00605C2F">
              <w:rPr>
                <w:rFonts w:ascii="Times New Roman" w:hAnsi="Times New Roman" w:cs="Times New Roman"/>
                <w:sz w:val="40"/>
                <w:szCs w:val="40"/>
              </w:rPr>
              <w:t>*</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2</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11</w:t>
            </w:r>
          </w:p>
        </w:tc>
        <w:tc>
          <w:tcPr>
            <w:tcW w:w="1401"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10</w:t>
            </w:r>
          </w:p>
        </w:tc>
        <w:tc>
          <w:tcPr>
            <w:tcW w:w="1788" w:type="dxa"/>
          </w:tcPr>
          <w:p w:rsidR="005C2C63" w:rsidRPr="00617397" w:rsidRDefault="005C2C63" w:rsidP="001B5643">
            <w:pPr>
              <w:jc w:val="center"/>
              <w:rPr>
                <w:rFonts w:ascii="Times New Roman" w:hAnsi="Times New Roman" w:cs="Times New Roman"/>
                <w:sz w:val="32"/>
                <w:szCs w:val="32"/>
              </w:rPr>
            </w:pPr>
            <w:r>
              <w:rPr>
                <w:rFonts w:ascii="Times New Roman" w:hAnsi="Times New Roman" w:cs="Times New Roman"/>
                <w:sz w:val="32"/>
                <w:szCs w:val="32"/>
              </w:rPr>
              <w:t>1</w:t>
            </w:r>
          </w:p>
        </w:tc>
      </w:tr>
      <w:tr w:rsidR="005C2C63" w:rsidRPr="00617397" w:rsidTr="001B5643">
        <w:trPr>
          <w:trHeight w:val="508"/>
        </w:trPr>
        <w:tc>
          <w:tcPr>
            <w:tcW w:w="1436" w:type="dxa"/>
          </w:tcPr>
          <w:p w:rsidR="005C2C63" w:rsidRPr="00617397" w:rsidRDefault="005C2C63" w:rsidP="001B5643">
            <w:pPr>
              <w:jc w:val="center"/>
              <w:rPr>
                <w:rFonts w:ascii="Times New Roman" w:hAnsi="Times New Roman" w:cs="Times New Roman"/>
                <w:b/>
                <w:sz w:val="40"/>
                <w:szCs w:val="40"/>
              </w:rPr>
            </w:pPr>
            <w:r w:rsidRPr="00617397">
              <w:rPr>
                <w:rFonts w:ascii="Times New Roman" w:hAnsi="Times New Roman" w:cs="Times New Roman"/>
                <w:b/>
                <w:sz w:val="40"/>
                <w:szCs w:val="40"/>
              </w:rPr>
              <w:t>ИТОГ</w:t>
            </w:r>
          </w:p>
        </w:tc>
        <w:tc>
          <w:tcPr>
            <w:tcW w:w="1401" w:type="dxa"/>
          </w:tcPr>
          <w:p w:rsidR="005C2C63" w:rsidRPr="00D2022C" w:rsidRDefault="005C2C63" w:rsidP="001B5643">
            <w:pPr>
              <w:jc w:val="center"/>
              <w:rPr>
                <w:rFonts w:ascii="Times New Roman" w:hAnsi="Times New Roman" w:cs="Times New Roman"/>
                <w:b/>
                <w:sz w:val="44"/>
                <w:szCs w:val="44"/>
              </w:rPr>
            </w:pPr>
            <w:r w:rsidRPr="00D2022C">
              <w:rPr>
                <w:rFonts w:ascii="Times New Roman" w:hAnsi="Times New Roman"/>
                <w:b/>
                <w:sz w:val="44"/>
                <w:szCs w:val="44"/>
              </w:rPr>
              <w:fldChar w:fldCharType="begin"/>
            </w:r>
            <w:r w:rsidRPr="00D2022C">
              <w:rPr>
                <w:rFonts w:ascii="Times New Roman" w:hAnsi="Times New Roman" w:cs="Times New Roman"/>
                <w:b/>
                <w:sz w:val="44"/>
                <w:szCs w:val="44"/>
              </w:rPr>
              <w:instrText xml:space="preserve"> =SUM(ABOVE) </w:instrText>
            </w:r>
            <w:r w:rsidRPr="00D2022C">
              <w:rPr>
                <w:rFonts w:ascii="Times New Roman" w:hAnsi="Times New Roman"/>
                <w:b/>
                <w:sz w:val="44"/>
                <w:szCs w:val="44"/>
              </w:rPr>
              <w:fldChar w:fldCharType="separate"/>
            </w:r>
            <w:r w:rsidRPr="00D2022C">
              <w:rPr>
                <w:rFonts w:ascii="Times New Roman" w:hAnsi="Times New Roman" w:cs="Times New Roman"/>
                <w:b/>
                <w:noProof/>
                <w:sz w:val="44"/>
                <w:szCs w:val="44"/>
              </w:rPr>
              <w:t>23</w:t>
            </w:r>
            <w:r w:rsidRPr="00D2022C">
              <w:rPr>
                <w:rFonts w:ascii="Times New Roman" w:hAnsi="Times New Roman"/>
                <w:b/>
                <w:sz w:val="44"/>
                <w:szCs w:val="44"/>
              </w:rPr>
              <w:fldChar w:fldCharType="end"/>
            </w:r>
          </w:p>
        </w:tc>
        <w:tc>
          <w:tcPr>
            <w:tcW w:w="1788" w:type="dxa"/>
          </w:tcPr>
          <w:p w:rsidR="005C2C63" w:rsidRPr="00D2022C" w:rsidRDefault="005C2C63" w:rsidP="001B5643">
            <w:pPr>
              <w:jc w:val="center"/>
              <w:rPr>
                <w:rFonts w:ascii="Times New Roman" w:hAnsi="Times New Roman" w:cs="Times New Roman"/>
                <w:b/>
                <w:sz w:val="44"/>
                <w:szCs w:val="44"/>
              </w:rPr>
            </w:pPr>
            <w:r w:rsidRPr="00D2022C">
              <w:rPr>
                <w:rFonts w:ascii="Times New Roman" w:hAnsi="Times New Roman" w:cs="Times New Roman"/>
                <w:b/>
                <w:sz w:val="44"/>
                <w:szCs w:val="44"/>
              </w:rPr>
              <w:t>11</w:t>
            </w:r>
          </w:p>
        </w:tc>
        <w:tc>
          <w:tcPr>
            <w:tcW w:w="1401" w:type="dxa"/>
          </w:tcPr>
          <w:p w:rsidR="005C2C63" w:rsidRPr="00D2022C" w:rsidRDefault="005C2C63" w:rsidP="001B5643">
            <w:pPr>
              <w:jc w:val="center"/>
              <w:rPr>
                <w:rFonts w:ascii="Times New Roman" w:hAnsi="Times New Roman" w:cs="Times New Roman"/>
                <w:b/>
                <w:sz w:val="44"/>
                <w:szCs w:val="44"/>
              </w:rPr>
            </w:pPr>
            <w:r w:rsidRPr="00D2022C">
              <w:rPr>
                <w:rFonts w:ascii="Times New Roman" w:hAnsi="Times New Roman" w:cs="Times New Roman"/>
                <w:b/>
                <w:sz w:val="44"/>
                <w:szCs w:val="44"/>
              </w:rPr>
              <w:t>10</w:t>
            </w:r>
          </w:p>
        </w:tc>
        <w:tc>
          <w:tcPr>
            <w:tcW w:w="1788" w:type="dxa"/>
          </w:tcPr>
          <w:p w:rsidR="005C2C63" w:rsidRPr="00D2022C" w:rsidRDefault="005C2C63" w:rsidP="001B5643">
            <w:pPr>
              <w:jc w:val="center"/>
              <w:rPr>
                <w:rFonts w:ascii="Times New Roman" w:hAnsi="Times New Roman" w:cs="Times New Roman"/>
                <w:b/>
                <w:sz w:val="44"/>
                <w:szCs w:val="44"/>
              </w:rPr>
            </w:pPr>
            <w:r w:rsidRPr="00D2022C">
              <w:rPr>
                <w:rFonts w:ascii="Times New Roman" w:hAnsi="Times New Roman"/>
                <w:b/>
                <w:sz w:val="44"/>
                <w:szCs w:val="44"/>
              </w:rPr>
              <w:fldChar w:fldCharType="begin"/>
            </w:r>
            <w:r w:rsidRPr="00D2022C">
              <w:rPr>
                <w:rFonts w:ascii="Times New Roman" w:hAnsi="Times New Roman" w:cs="Times New Roman"/>
                <w:b/>
                <w:sz w:val="44"/>
                <w:szCs w:val="44"/>
              </w:rPr>
              <w:instrText xml:space="preserve"> =SUM(ABOVE) </w:instrText>
            </w:r>
            <w:r w:rsidRPr="00D2022C">
              <w:rPr>
                <w:rFonts w:ascii="Times New Roman" w:hAnsi="Times New Roman"/>
                <w:b/>
                <w:sz w:val="44"/>
                <w:szCs w:val="44"/>
              </w:rPr>
              <w:fldChar w:fldCharType="separate"/>
            </w:r>
            <w:r w:rsidRPr="00D2022C">
              <w:rPr>
                <w:rFonts w:ascii="Times New Roman" w:hAnsi="Times New Roman" w:cs="Times New Roman"/>
                <w:b/>
                <w:noProof/>
                <w:sz w:val="44"/>
                <w:szCs w:val="44"/>
              </w:rPr>
              <w:t>27</w:t>
            </w:r>
            <w:r w:rsidRPr="00D2022C">
              <w:rPr>
                <w:rFonts w:ascii="Times New Roman" w:hAnsi="Times New Roman"/>
                <w:b/>
                <w:sz w:val="44"/>
                <w:szCs w:val="44"/>
              </w:rPr>
              <w:fldChar w:fldCharType="end"/>
            </w:r>
          </w:p>
        </w:tc>
      </w:tr>
    </w:tbl>
    <w:p w:rsidR="005C2C63" w:rsidRPr="005843AA" w:rsidRDefault="005C2C63" w:rsidP="005C2C63">
      <w:pPr>
        <w:rPr>
          <w:b/>
          <w:bCs/>
          <w:sz w:val="40"/>
          <w:szCs w:val="40"/>
        </w:rPr>
      </w:pPr>
      <w:r>
        <w:rPr>
          <w:noProof/>
          <w:lang w:eastAsia="ru-RU"/>
        </w:rPr>
        <w:drawing>
          <wp:inline distT="0" distB="0" distL="0" distR="0" wp14:anchorId="36AE4CE2" wp14:editId="57C854EA">
            <wp:extent cx="1952625" cy="558699"/>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3471" cy="564664"/>
                    </a:xfrm>
                    <a:prstGeom prst="rect">
                      <a:avLst/>
                    </a:prstGeom>
                  </pic:spPr>
                </pic:pic>
              </a:graphicData>
            </a:graphic>
          </wp:inline>
        </w:drawing>
      </w:r>
      <w:r>
        <w:rPr>
          <w:b/>
          <w:bCs/>
          <w:sz w:val="40"/>
          <w:szCs w:val="40"/>
        </w:rPr>
        <w:t xml:space="preserve">      </w:t>
      </w:r>
      <w:r w:rsidRPr="00EB1D7A">
        <w:rPr>
          <w:rFonts w:ascii="Times New Roman" w:hAnsi="Times New Roman"/>
          <w:b/>
          <w:bCs/>
          <w:sz w:val="40"/>
          <w:szCs w:val="40"/>
        </w:rPr>
        <w:t xml:space="preserve">ПРОТОКОЛ </w:t>
      </w:r>
      <w:r w:rsidR="00FF4A9C">
        <w:rPr>
          <w:rFonts w:ascii="Times New Roman" w:hAnsi="Times New Roman"/>
          <w:b/>
          <w:bCs/>
          <w:sz w:val="40"/>
          <w:szCs w:val="40"/>
        </w:rPr>
        <w:t>НОВУС</w:t>
      </w:r>
      <w:r w:rsidR="00A45D1C">
        <w:rPr>
          <w:rFonts w:ascii="Times New Roman" w:hAnsi="Times New Roman"/>
          <w:b/>
          <w:bCs/>
          <w:sz w:val="40"/>
          <w:szCs w:val="40"/>
        </w:rPr>
        <w:t xml:space="preserve"> 2024</w:t>
      </w:r>
    </w:p>
    <w:p w:rsidR="005C2C63" w:rsidRDefault="005C2C63" w:rsidP="005C2C63">
      <w:pPr>
        <w:jc w:val="center"/>
      </w:pPr>
    </w:p>
    <w:p w:rsidR="005954BC" w:rsidRDefault="005954BC" w:rsidP="00030510">
      <w:pPr>
        <w:jc w:val="both"/>
      </w:pPr>
    </w:p>
    <w:p w:rsidR="005954BC" w:rsidRDefault="005954BC">
      <w:pPr>
        <w:suppressAutoHyphens w:val="0"/>
      </w:pPr>
      <w:r>
        <w:br w:type="page"/>
      </w:r>
    </w:p>
    <w:tbl>
      <w:tblPr>
        <w:tblStyle w:val="a4"/>
        <w:tblpPr w:leftFromText="180" w:rightFromText="180" w:vertAnchor="page" w:horzAnchor="margin" w:tblpXSpec="center" w:tblpY="2305"/>
        <w:tblW w:w="7814" w:type="dxa"/>
        <w:tblLook w:val="04A0" w:firstRow="1" w:lastRow="0" w:firstColumn="1" w:lastColumn="0" w:noHBand="0" w:noVBand="1"/>
      </w:tblPr>
      <w:tblGrid>
        <w:gridCol w:w="1388"/>
        <w:gridCol w:w="1426"/>
        <w:gridCol w:w="1735"/>
        <w:gridCol w:w="1703"/>
        <w:gridCol w:w="1562"/>
      </w:tblGrid>
      <w:tr w:rsidR="005954BC" w:rsidRPr="00617397" w:rsidTr="00605C2F">
        <w:trPr>
          <w:trHeight w:val="508"/>
        </w:trPr>
        <w:tc>
          <w:tcPr>
            <w:tcW w:w="1388" w:type="dxa"/>
            <w:vMerge w:val="restart"/>
            <w:vAlign w:val="center"/>
          </w:tcPr>
          <w:p w:rsidR="005954BC" w:rsidRPr="00617397" w:rsidRDefault="005954BC" w:rsidP="001B5643">
            <w:pPr>
              <w:jc w:val="center"/>
              <w:rPr>
                <w:rFonts w:ascii="Times New Roman" w:hAnsi="Times New Roman" w:cs="Times New Roman"/>
                <w:b/>
                <w:sz w:val="28"/>
                <w:szCs w:val="28"/>
              </w:rPr>
            </w:pPr>
            <w:r w:rsidRPr="00617397">
              <w:rPr>
                <w:rFonts w:ascii="Times New Roman" w:hAnsi="Times New Roman" w:cs="Times New Roman"/>
                <w:b/>
                <w:sz w:val="28"/>
                <w:szCs w:val="28"/>
              </w:rPr>
              <w:lastRenderedPageBreak/>
              <w:t>№ сета</w:t>
            </w:r>
          </w:p>
        </w:tc>
        <w:tc>
          <w:tcPr>
            <w:tcW w:w="3161" w:type="dxa"/>
            <w:gridSpan w:val="2"/>
          </w:tcPr>
          <w:p w:rsidR="005954BC" w:rsidRPr="00617397" w:rsidRDefault="00605C2F" w:rsidP="00605C2F">
            <w:pPr>
              <w:jc w:val="right"/>
              <w:rPr>
                <w:rFonts w:ascii="Times New Roman" w:hAnsi="Times New Roman" w:cs="Times New Roman"/>
                <w:b/>
                <w:bCs/>
                <w:sz w:val="36"/>
                <w:szCs w:val="36"/>
              </w:rPr>
            </w:pPr>
            <w:r>
              <w:rPr>
                <w:rFonts w:ascii="Times New Roman" w:hAnsi="Times New Roman" w:cs="Times New Roman"/>
                <w:b/>
                <w:bCs/>
                <w:sz w:val="36"/>
                <w:szCs w:val="36"/>
              </w:rPr>
              <w:t>*</w:t>
            </w:r>
          </w:p>
        </w:tc>
        <w:tc>
          <w:tcPr>
            <w:tcW w:w="3265" w:type="dxa"/>
            <w:gridSpan w:val="2"/>
          </w:tcPr>
          <w:p w:rsidR="005954BC" w:rsidRPr="00617397" w:rsidRDefault="005954BC" w:rsidP="001B5643">
            <w:pPr>
              <w:jc w:val="center"/>
              <w:rPr>
                <w:rFonts w:ascii="Times New Roman" w:hAnsi="Times New Roman" w:cs="Times New Roman"/>
                <w:b/>
                <w:bCs/>
                <w:sz w:val="36"/>
                <w:szCs w:val="36"/>
              </w:rPr>
            </w:pPr>
          </w:p>
        </w:tc>
      </w:tr>
      <w:tr w:rsidR="005954BC" w:rsidRPr="00617397" w:rsidTr="00605C2F">
        <w:trPr>
          <w:trHeight w:val="480"/>
        </w:trPr>
        <w:tc>
          <w:tcPr>
            <w:tcW w:w="1388" w:type="dxa"/>
            <w:vMerge/>
          </w:tcPr>
          <w:p w:rsidR="005954BC" w:rsidRPr="00617397" w:rsidRDefault="005954BC" w:rsidP="001B5643">
            <w:pPr>
              <w:jc w:val="center"/>
              <w:rPr>
                <w:rFonts w:ascii="Times New Roman" w:hAnsi="Times New Roman" w:cs="Times New Roman"/>
              </w:rPr>
            </w:pPr>
          </w:p>
        </w:tc>
        <w:tc>
          <w:tcPr>
            <w:tcW w:w="1426" w:type="dxa"/>
          </w:tcPr>
          <w:p w:rsidR="005954BC" w:rsidRPr="00617397" w:rsidRDefault="00605C2F" w:rsidP="001B5643">
            <w:pPr>
              <w:jc w:val="center"/>
              <w:rPr>
                <w:rFonts w:ascii="Times New Roman" w:hAnsi="Times New Roman" w:cs="Times New Roman"/>
                <w:b/>
                <w:sz w:val="28"/>
                <w:szCs w:val="28"/>
              </w:rPr>
            </w:pPr>
            <w:r w:rsidRPr="00605C2F">
              <w:rPr>
                <w:rFonts w:ascii="Times New Roman" w:hAnsi="Times New Roman" w:cs="Times New Roman"/>
                <w:b/>
                <w:sz w:val="28"/>
                <w:szCs w:val="28"/>
              </w:rPr>
              <w:t>Кол-во «штосов»</w:t>
            </w:r>
          </w:p>
        </w:tc>
        <w:tc>
          <w:tcPr>
            <w:tcW w:w="1735" w:type="dxa"/>
          </w:tcPr>
          <w:p w:rsidR="005954BC" w:rsidRPr="00617397" w:rsidRDefault="005954BC" w:rsidP="001B5643">
            <w:pPr>
              <w:jc w:val="center"/>
              <w:rPr>
                <w:rFonts w:ascii="Times New Roman" w:hAnsi="Times New Roman" w:cs="Times New Roman"/>
                <w:b/>
                <w:sz w:val="28"/>
                <w:szCs w:val="28"/>
              </w:rPr>
            </w:pPr>
            <w:r w:rsidRPr="00617397">
              <w:rPr>
                <w:rFonts w:ascii="Times New Roman" w:hAnsi="Times New Roman" w:cs="Times New Roman"/>
                <w:b/>
                <w:sz w:val="28"/>
                <w:szCs w:val="28"/>
              </w:rPr>
              <w:t>Результаты сетов</w:t>
            </w:r>
          </w:p>
        </w:tc>
        <w:tc>
          <w:tcPr>
            <w:tcW w:w="1703" w:type="dxa"/>
          </w:tcPr>
          <w:p w:rsidR="005954BC" w:rsidRPr="00617397" w:rsidRDefault="005954BC" w:rsidP="001B5643">
            <w:pPr>
              <w:jc w:val="center"/>
              <w:rPr>
                <w:rFonts w:ascii="Times New Roman" w:hAnsi="Times New Roman" w:cs="Times New Roman"/>
                <w:b/>
                <w:sz w:val="28"/>
                <w:szCs w:val="28"/>
              </w:rPr>
            </w:pPr>
            <w:r w:rsidRPr="00617397">
              <w:rPr>
                <w:rFonts w:ascii="Times New Roman" w:hAnsi="Times New Roman" w:cs="Times New Roman"/>
                <w:b/>
                <w:sz w:val="28"/>
                <w:szCs w:val="28"/>
              </w:rPr>
              <w:t>Результат</w:t>
            </w:r>
            <w:r>
              <w:rPr>
                <w:rFonts w:ascii="Times New Roman" w:hAnsi="Times New Roman" w:cs="Times New Roman"/>
                <w:b/>
                <w:sz w:val="28"/>
                <w:szCs w:val="28"/>
              </w:rPr>
              <w:t>ы сетов</w:t>
            </w:r>
          </w:p>
        </w:tc>
        <w:tc>
          <w:tcPr>
            <w:tcW w:w="1562" w:type="dxa"/>
          </w:tcPr>
          <w:p w:rsidR="005954BC" w:rsidRPr="00617397" w:rsidRDefault="00605C2F" w:rsidP="001B5643">
            <w:pPr>
              <w:jc w:val="center"/>
              <w:rPr>
                <w:rFonts w:ascii="Times New Roman" w:hAnsi="Times New Roman" w:cs="Times New Roman"/>
                <w:b/>
                <w:sz w:val="28"/>
                <w:szCs w:val="28"/>
              </w:rPr>
            </w:pPr>
            <w:r w:rsidRPr="00605C2F">
              <w:rPr>
                <w:rFonts w:ascii="Times New Roman" w:hAnsi="Times New Roman" w:cs="Times New Roman"/>
                <w:b/>
                <w:sz w:val="28"/>
                <w:szCs w:val="28"/>
              </w:rPr>
              <w:t>Кол-во «штосов»</w:t>
            </w:r>
          </w:p>
        </w:tc>
      </w:tr>
      <w:tr w:rsidR="00605C2F" w:rsidRPr="00617397" w:rsidTr="00605C2F">
        <w:trPr>
          <w:trHeight w:val="480"/>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1*</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508"/>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2</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480"/>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3*</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508"/>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4</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480"/>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5*</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508"/>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6</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508"/>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7*</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480"/>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8</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508"/>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9*</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480"/>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10</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508"/>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11*</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480"/>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12</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508"/>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13*</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508"/>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14</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480"/>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15*</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508"/>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16</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480"/>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17*</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508"/>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18</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480"/>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19*</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508"/>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20</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605C2F" w:rsidRPr="00617397" w:rsidTr="00605C2F">
        <w:trPr>
          <w:trHeight w:val="508"/>
        </w:trPr>
        <w:tc>
          <w:tcPr>
            <w:tcW w:w="1388" w:type="dxa"/>
          </w:tcPr>
          <w:p w:rsidR="00605C2F" w:rsidRPr="00605C2F" w:rsidRDefault="00605C2F" w:rsidP="00605C2F">
            <w:pPr>
              <w:jc w:val="center"/>
              <w:rPr>
                <w:rFonts w:ascii="Times New Roman" w:hAnsi="Times New Roman" w:cs="Times New Roman"/>
                <w:sz w:val="40"/>
                <w:szCs w:val="40"/>
              </w:rPr>
            </w:pPr>
            <w:r w:rsidRPr="00605C2F">
              <w:rPr>
                <w:rFonts w:ascii="Times New Roman" w:hAnsi="Times New Roman" w:cs="Times New Roman"/>
                <w:sz w:val="40"/>
                <w:szCs w:val="40"/>
              </w:rPr>
              <w:t>21*</w:t>
            </w:r>
          </w:p>
        </w:tc>
        <w:tc>
          <w:tcPr>
            <w:tcW w:w="1426" w:type="dxa"/>
          </w:tcPr>
          <w:p w:rsidR="00605C2F" w:rsidRPr="00617397" w:rsidRDefault="00605C2F" w:rsidP="00605C2F">
            <w:pPr>
              <w:jc w:val="center"/>
              <w:rPr>
                <w:rFonts w:ascii="Times New Roman" w:hAnsi="Times New Roman" w:cs="Times New Roman"/>
                <w:sz w:val="32"/>
                <w:szCs w:val="32"/>
              </w:rPr>
            </w:pPr>
          </w:p>
        </w:tc>
        <w:tc>
          <w:tcPr>
            <w:tcW w:w="1735" w:type="dxa"/>
          </w:tcPr>
          <w:p w:rsidR="00605C2F" w:rsidRPr="00617397" w:rsidRDefault="00605C2F" w:rsidP="00605C2F">
            <w:pPr>
              <w:jc w:val="center"/>
              <w:rPr>
                <w:rFonts w:ascii="Times New Roman" w:hAnsi="Times New Roman" w:cs="Times New Roman"/>
                <w:sz w:val="32"/>
                <w:szCs w:val="32"/>
              </w:rPr>
            </w:pPr>
          </w:p>
        </w:tc>
        <w:tc>
          <w:tcPr>
            <w:tcW w:w="1703" w:type="dxa"/>
          </w:tcPr>
          <w:p w:rsidR="00605C2F" w:rsidRPr="00617397" w:rsidRDefault="00605C2F" w:rsidP="00605C2F">
            <w:pPr>
              <w:jc w:val="center"/>
              <w:rPr>
                <w:rFonts w:ascii="Times New Roman" w:hAnsi="Times New Roman" w:cs="Times New Roman"/>
                <w:sz w:val="32"/>
                <w:szCs w:val="32"/>
              </w:rPr>
            </w:pPr>
          </w:p>
        </w:tc>
        <w:tc>
          <w:tcPr>
            <w:tcW w:w="1562" w:type="dxa"/>
          </w:tcPr>
          <w:p w:rsidR="00605C2F" w:rsidRPr="00617397" w:rsidRDefault="00605C2F" w:rsidP="00605C2F">
            <w:pPr>
              <w:jc w:val="center"/>
              <w:rPr>
                <w:rFonts w:ascii="Times New Roman" w:hAnsi="Times New Roman" w:cs="Times New Roman"/>
                <w:sz w:val="32"/>
                <w:szCs w:val="32"/>
              </w:rPr>
            </w:pPr>
          </w:p>
        </w:tc>
      </w:tr>
      <w:tr w:rsidR="005954BC" w:rsidRPr="00617397" w:rsidTr="00605C2F">
        <w:trPr>
          <w:trHeight w:val="508"/>
        </w:trPr>
        <w:tc>
          <w:tcPr>
            <w:tcW w:w="1388" w:type="dxa"/>
          </w:tcPr>
          <w:p w:rsidR="005954BC" w:rsidRPr="00617397" w:rsidRDefault="005954BC" w:rsidP="001B5643">
            <w:pPr>
              <w:jc w:val="center"/>
              <w:rPr>
                <w:rFonts w:ascii="Times New Roman" w:hAnsi="Times New Roman" w:cs="Times New Roman"/>
                <w:b/>
                <w:sz w:val="40"/>
                <w:szCs w:val="40"/>
              </w:rPr>
            </w:pPr>
            <w:r w:rsidRPr="00617397">
              <w:rPr>
                <w:rFonts w:ascii="Times New Roman" w:hAnsi="Times New Roman" w:cs="Times New Roman"/>
                <w:b/>
                <w:sz w:val="40"/>
                <w:szCs w:val="40"/>
              </w:rPr>
              <w:t>ИТОГ</w:t>
            </w:r>
          </w:p>
        </w:tc>
        <w:tc>
          <w:tcPr>
            <w:tcW w:w="1426" w:type="dxa"/>
          </w:tcPr>
          <w:p w:rsidR="005954BC" w:rsidRPr="00D2022C" w:rsidRDefault="005954BC" w:rsidP="001B5643">
            <w:pPr>
              <w:jc w:val="center"/>
              <w:rPr>
                <w:rFonts w:ascii="Times New Roman" w:hAnsi="Times New Roman" w:cs="Times New Roman"/>
                <w:b/>
                <w:sz w:val="44"/>
                <w:szCs w:val="44"/>
              </w:rPr>
            </w:pPr>
          </w:p>
        </w:tc>
        <w:tc>
          <w:tcPr>
            <w:tcW w:w="1735" w:type="dxa"/>
          </w:tcPr>
          <w:p w:rsidR="005954BC" w:rsidRPr="00D2022C" w:rsidRDefault="005954BC" w:rsidP="001B5643">
            <w:pPr>
              <w:jc w:val="center"/>
              <w:rPr>
                <w:rFonts w:ascii="Times New Roman" w:hAnsi="Times New Roman" w:cs="Times New Roman"/>
                <w:b/>
                <w:sz w:val="44"/>
                <w:szCs w:val="44"/>
              </w:rPr>
            </w:pPr>
          </w:p>
        </w:tc>
        <w:tc>
          <w:tcPr>
            <w:tcW w:w="1703" w:type="dxa"/>
          </w:tcPr>
          <w:p w:rsidR="005954BC" w:rsidRPr="00D2022C" w:rsidRDefault="005954BC" w:rsidP="001B5643">
            <w:pPr>
              <w:jc w:val="center"/>
              <w:rPr>
                <w:rFonts w:ascii="Times New Roman" w:hAnsi="Times New Roman" w:cs="Times New Roman"/>
                <w:b/>
                <w:sz w:val="44"/>
                <w:szCs w:val="44"/>
              </w:rPr>
            </w:pPr>
          </w:p>
        </w:tc>
        <w:tc>
          <w:tcPr>
            <w:tcW w:w="1562" w:type="dxa"/>
          </w:tcPr>
          <w:p w:rsidR="005954BC" w:rsidRPr="00D2022C" w:rsidRDefault="005954BC" w:rsidP="001B5643">
            <w:pPr>
              <w:jc w:val="center"/>
              <w:rPr>
                <w:rFonts w:ascii="Times New Roman" w:hAnsi="Times New Roman" w:cs="Times New Roman"/>
                <w:b/>
                <w:sz w:val="44"/>
                <w:szCs w:val="44"/>
              </w:rPr>
            </w:pPr>
          </w:p>
        </w:tc>
      </w:tr>
    </w:tbl>
    <w:p w:rsidR="005954BC" w:rsidRPr="005843AA" w:rsidRDefault="005954BC" w:rsidP="005954BC">
      <w:pPr>
        <w:rPr>
          <w:b/>
          <w:bCs/>
          <w:sz w:val="40"/>
          <w:szCs w:val="40"/>
        </w:rPr>
      </w:pPr>
      <w:r>
        <w:rPr>
          <w:noProof/>
          <w:lang w:eastAsia="ru-RU"/>
        </w:rPr>
        <w:drawing>
          <wp:inline distT="0" distB="0" distL="0" distR="0" wp14:anchorId="6EE1F1CC" wp14:editId="6D0612F2">
            <wp:extent cx="1952625" cy="55869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3471" cy="564664"/>
                    </a:xfrm>
                    <a:prstGeom prst="rect">
                      <a:avLst/>
                    </a:prstGeom>
                  </pic:spPr>
                </pic:pic>
              </a:graphicData>
            </a:graphic>
          </wp:inline>
        </w:drawing>
      </w:r>
      <w:r>
        <w:rPr>
          <w:b/>
          <w:bCs/>
          <w:sz w:val="40"/>
          <w:szCs w:val="40"/>
        </w:rPr>
        <w:t xml:space="preserve">      </w:t>
      </w:r>
      <w:r w:rsidRPr="00EB1D7A">
        <w:rPr>
          <w:rFonts w:ascii="Times New Roman" w:hAnsi="Times New Roman"/>
          <w:b/>
          <w:bCs/>
          <w:sz w:val="40"/>
          <w:szCs w:val="40"/>
        </w:rPr>
        <w:t xml:space="preserve">ПРОТОКОЛ </w:t>
      </w:r>
      <w:r w:rsidR="00FF4A9C">
        <w:rPr>
          <w:rFonts w:ascii="Times New Roman" w:hAnsi="Times New Roman"/>
          <w:b/>
          <w:bCs/>
          <w:sz w:val="40"/>
          <w:szCs w:val="40"/>
        </w:rPr>
        <w:t>НОВУС</w:t>
      </w:r>
      <w:r w:rsidR="00A45D1C">
        <w:rPr>
          <w:rFonts w:ascii="Times New Roman" w:hAnsi="Times New Roman"/>
          <w:b/>
          <w:bCs/>
          <w:sz w:val="40"/>
          <w:szCs w:val="40"/>
        </w:rPr>
        <w:t xml:space="preserve"> 2024</w:t>
      </w:r>
    </w:p>
    <w:p w:rsidR="005954BC" w:rsidRDefault="005954BC" w:rsidP="005954BC">
      <w:pPr>
        <w:jc w:val="center"/>
      </w:pPr>
    </w:p>
    <w:p w:rsidR="005C2C63" w:rsidRDefault="005C2C63" w:rsidP="00030510">
      <w:pPr>
        <w:jc w:val="both"/>
      </w:pPr>
    </w:p>
    <w:sectPr w:rsidR="005C2C63">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EB" w:rsidRDefault="00BB08EB">
      <w:pPr>
        <w:spacing w:after="0" w:line="240" w:lineRule="auto"/>
      </w:pPr>
      <w:r>
        <w:separator/>
      </w:r>
    </w:p>
  </w:endnote>
  <w:endnote w:type="continuationSeparator" w:id="0">
    <w:p w:rsidR="00BB08EB" w:rsidRDefault="00BB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EB" w:rsidRDefault="00BB08EB">
      <w:pPr>
        <w:spacing w:after="0" w:line="240" w:lineRule="auto"/>
      </w:pPr>
      <w:r>
        <w:rPr>
          <w:color w:val="000000"/>
        </w:rPr>
        <w:separator/>
      </w:r>
    </w:p>
  </w:footnote>
  <w:footnote w:type="continuationSeparator" w:id="0">
    <w:p w:rsidR="00BB08EB" w:rsidRDefault="00BB0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56464"/>
    <w:multiLevelType w:val="hybridMultilevel"/>
    <w:tmpl w:val="7316842A"/>
    <w:lvl w:ilvl="0" w:tplc="9948D0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83"/>
    <w:rsid w:val="000240D1"/>
    <w:rsid w:val="00030510"/>
    <w:rsid w:val="00061AC2"/>
    <w:rsid w:val="000824AE"/>
    <w:rsid w:val="001B0559"/>
    <w:rsid w:val="001B2D81"/>
    <w:rsid w:val="001B42FC"/>
    <w:rsid w:val="0023138A"/>
    <w:rsid w:val="00232C83"/>
    <w:rsid w:val="0025241F"/>
    <w:rsid w:val="00256A30"/>
    <w:rsid w:val="002B2301"/>
    <w:rsid w:val="004259C5"/>
    <w:rsid w:val="004801FA"/>
    <w:rsid w:val="00533502"/>
    <w:rsid w:val="0059318A"/>
    <w:rsid w:val="005954BC"/>
    <w:rsid w:val="005B3ED2"/>
    <w:rsid w:val="005C2C63"/>
    <w:rsid w:val="00605C2F"/>
    <w:rsid w:val="00641D93"/>
    <w:rsid w:val="006565F5"/>
    <w:rsid w:val="006A071A"/>
    <w:rsid w:val="00722DC6"/>
    <w:rsid w:val="00730216"/>
    <w:rsid w:val="00731AC8"/>
    <w:rsid w:val="00756AD8"/>
    <w:rsid w:val="00794B12"/>
    <w:rsid w:val="007D27CC"/>
    <w:rsid w:val="007F7A02"/>
    <w:rsid w:val="0084632E"/>
    <w:rsid w:val="00856487"/>
    <w:rsid w:val="00862C2B"/>
    <w:rsid w:val="00890307"/>
    <w:rsid w:val="00895957"/>
    <w:rsid w:val="00941CFA"/>
    <w:rsid w:val="00941D5A"/>
    <w:rsid w:val="009513A5"/>
    <w:rsid w:val="00A45D1C"/>
    <w:rsid w:val="00AC7521"/>
    <w:rsid w:val="00B10764"/>
    <w:rsid w:val="00B145F0"/>
    <w:rsid w:val="00B80462"/>
    <w:rsid w:val="00B84689"/>
    <w:rsid w:val="00B87C5C"/>
    <w:rsid w:val="00BA5A95"/>
    <w:rsid w:val="00BB08EB"/>
    <w:rsid w:val="00C41B9F"/>
    <w:rsid w:val="00C820C2"/>
    <w:rsid w:val="00D800A6"/>
    <w:rsid w:val="00E407C9"/>
    <w:rsid w:val="00F02417"/>
    <w:rsid w:val="00FD2919"/>
    <w:rsid w:val="00FF4A9C"/>
    <w:rsid w:val="00FF6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71A1"/>
  <w15:docId w15:val="{1639F4CB-B637-425C-B7C6-03F66124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5957"/>
    <w:rPr>
      <w:color w:val="0563C1" w:themeColor="hyperlink"/>
      <w:u w:val="single"/>
    </w:rPr>
  </w:style>
  <w:style w:type="table" w:styleId="a4">
    <w:name w:val="Table Grid"/>
    <w:basedOn w:val="a1"/>
    <w:uiPriority w:val="39"/>
    <w:rsid w:val="005C2C63"/>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800A6"/>
    <w:pPr>
      <w:ind w:left="720"/>
      <w:contextualSpacing/>
    </w:pPr>
  </w:style>
  <w:style w:type="character" w:styleId="a6">
    <w:name w:val="FollowedHyperlink"/>
    <w:basedOn w:val="a0"/>
    <w:uiPriority w:val="99"/>
    <w:semiHidden/>
    <w:unhideWhenUsed/>
    <w:rsid w:val="00862C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cloud/65c1df2502848f00ffe75f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fnsiru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1432</Words>
  <Characters>8166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Studia NSI</dc:creator>
  <dc:description/>
  <cp:lastModifiedBy>User</cp:lastModifiedBy>
  <cp:revision>4</cp:revision>
  <dcterms:created xsi:type="dcterms:W3CDTF">2024-03-05T19:49:00Z</dcterms:created>
  <dcterms:modified xsi:type="dcterms:W3CDTF">2024-03-06T14:46:00Z</dcterms:modified>
</cp:coreProperties>
</file>