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03F8" w:rsidTr="00567817">
        <w:tc>
          <w:tcPr>
            <w:tcW w:w="4785" w:type="dxa"/>
          </w:tcPr>
          <w:p w:rsidR="00A703F8" w:rsidRDefault="00A703F8" w:rsidP="00BA09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281A91" w:rsidRDefault="00281A91" w:rsidP="00281A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03F8" w:rsidRPr="0043179D" w:rsidRDefault="00281A91" w:rsidP="00281A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повестке дня</w:t>
            </w:r>
          </w:p>
        </w:tc>
      </w:tr>
    </w:tbl>
    <w:p w:rsidR="00281A91" w:rsidRPr="00281A91" w:rsidRDefault="00281A91" w:rsidP="00281A91">
      <w:pPr>
        <w:pStyle w:val="ab"/>
        <w:ind w:firstLine="709"/>
        <w:jc w:val="both"/>
        <w:rPr>
          <w:szCs w:val="28"/>
        </w:rPr>
      </w:pPr>
      <w:r w:rsidRPr="00281A91">
        <w:rPr>
          <w:bCs/>
          <w:szCs w:val="28"/>
        </w:rPr>
        <w:t xml:space="preserve">07 июня 2018 специалисты </w:t>
      </w:r>
      <w:r w:rsidRPr="00281A91">
        <w:rPr>
          <w:szCs w:val="28"/>
        </w:rPr>
        <w:t xml:space="preserve">Управления Федеральной службы государственной регистрации, кадастра и картографии по Курской области (далее – Управление) приняли участие в рабочем совещании, которое состоялось в Департаменте архитектуры и градостроительства Курской области. </w:t>
      </w:r>
    </w:p>
    <w:p w:rsidR="00281A91" w:rsidRPr="00281A91" w:rsidRDefault="00281A91" w:rsidP="00281A91">
      <w:pPr>
        <w:pStyle w:val="ab"/>
        <w:ind w:firstLine="709"/>
        <w:jc w:val="both"/>
        <w:rPr>
          <w:szCs w:val="28"/>
        </w:rPr>
      </w:pPr>
      <w:r w:rsidRPr="00281A91">
        <w:rPr>
          <w:szCs w:val="28"/>
        </w:rPr>
        <w:t>На повестку дня для рассмотрения был вынесен вопрос о порядке согласования границ охранной зоны линейных объектов при выдаче разрешения на ввод объекта в эксплуатацию и вопрос по реализации мероприятий по внесению сведений в Единый государственный реестр недвижимости о границах муниципальных образований и границах населенных пунктов Курской области.</w:t>
      </w:r>
    </w:p>
    <w:p w:rsidR="00281A91" w:rsidRPr="00281A91" w:rsidRDefault="00281A9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участники совещания отметили следующее: </w:t>
      </w:r>
    </w:p>
    <w:p w:rsidR="00281A91" w:rsidRPr="00281A91" w:rsidRDefault="00281A9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81A91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13 части 3 статьи 55</w:t>
        </w:r>
      </w:hyperlink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 в редакции Федерального закона от 13 июля 2015 г. N 252-ФЗ «О внесении изменений в Земельный кодекс Российской Федерации и отдельные законодательные акты Российской Федерации» местоположение границ охранной зоны должно быть согласовано с органом государственной власти или органом местного самоуправления, уполномоченными на принятие решений об установлении такой</w:t>
      </w:r>
      <w:proofErr w:type="gramEnd"/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 зоны (границ такой зоны), за исключением случаев, если указанные органы являются органами, выдающими разрешение на ввод объекта в эксплуатацию.</w:t>
      </w:r>
    </w:p>
    <w:p w:rsidR="00281A91" w:rsidRPr="00281A91" w:rsidRDefault="00281A9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A91">
        <w:rPr>
          <w:rFonts w:ascii="Times New Roman" w:eastAsia="Calibri" w:hAnsi="Times New Roman" w:cs="Times New Roman"/>
          <w:sz w:val="28"/>
          <w:szCs w:val="28"/>
        </w:rPr>
        <w:t>Вместе с тем порядок согласования местоположения границ охранных зон прямо законом не урегулирован.</w:t>
      </w:r>
    </w:p>
    <w:p w:rsidR="00281A91" w:rsidRPr="00281A91" w:rsidRDefault="00281A9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A91">
        <w:rPr>
          <w:rFonts w:ascii="Times New Roman" w:eastAsia="Calibri" w:hAnsi="Times New Roman" w:cs="Times New Roman"/>
          <w:sz w:val="28"/>
          <w:szCs w:val="28"/>
        </w:rPr>
        <w:t>Как правило, порядок установления зон с особыми условиями использования территории определяется подзаконными нормативными правовыми актами.</w:t>
      </w:r>
    </w:p>
    <w:p w:rsidR="00281A91" w:rsidRPr="00281A91" w:rsidRDefault="00281A9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Так, например, в соответствии с </w:t>
      </w:r>
      <w:hyperlink r:id="rId7" w:history="1">
        <w:r w:rsidRPr="00281A91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6</w:t>
        </w:r>
      </w:hyperlink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 Правил установления охранных зон объектов </w:t>
      </w:r>
      <w:proofErr w:type="spellStart"/>
      <w:r w:rsidRPr="00281A91">
        <w:rPr>
          <w:rFonts w:ascii="Times New Roman" w:eastAsia="Calibri" w:hAnsi="Times New Roman" w:cs="Times New Roman"/>
          <w:sz w:val="28"/>
          <w:szCs w:val="28"/>
        </w:rPr>
        <w:t>электросетевого</w:t>
      </w:r>
      <w:proofErr w:type="spellEnd"/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 160, границы охранной зоны в отношении отдельного объекта </w:t>
      </w:r>
      <w:proofErr w:type="spellStart"/>
      <w:r w:rsidRPr="00281A91">
        <w:rPr>
          <w:rFonts w:ascii="Times New Roman" w:eastAsia="Calibri" w:hAnsi="Times New Roman" w:cs="Times New Roman"/>
          <w:sz w:val="28"/>
          <w:szCs w:val="28"/>
        </w:rPr>
        <w:t>электросетевого</w:t>
      </w:r>
      <w:proofErr w:type="spellEnd"/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 хозяйства определяются организацией, которая владеет им на праве собственности или ином законном основании.</w:t>
      </w:r>
    </w:p>
    <w:p w:rsidR="00281A91" w:rsidRPr="00281A91" w:rsidRDefault="00281A9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Сетевая организация обращается в федеральный орган исполнительной власти, осуществляющий федеральный государственный энергетический надзор, с заявлением о согласовании границ охранной зоны в отношении отдельных объектов </w:t>
      </w:r>
      <w:proofErr w:type="spellStart"/>
      <w:r w:rsidRPr="00281A91">
        <w:rPr>
          <w:rFonts w:ascii="Times New Roman" w:eastAsia="Calibri" w:hAnsi="Times New Roman" w:cs="Times New Roman"/>
          <w:sz w:val="28"/>
          <w:szCs w:val="28"/>
        </w:rPr>
        <w:t>электросетевого</w:t>
      </w:r>
      <w:proofErr w:type="spellEnd"/>
      <w:r w:rsidRPr="00281A91">
        <w:rPr>
          <w:rFonts w:ascii="Times New Roman" w:eastAsia="Calibri" w:hAnsi="Times New Roman" w:cs="Times New Roman"/>
          <w:sz w:val="28"/>
          <w:szCs w:val="28"/>
        </w:rPr>
        <w:t xml:space="preserve"> хозяйства, по результатам рассмотрения которого принимается решение о согласовании местоположения границ такой зоны.</w:t>
      </w:r>
    </w:p>
    <w:p w:rsidR="00281A91" w:rsidRPr="00281A91" w:rsidRDefault="00281A9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A91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согласование местоположения границ охранной зоны может быть подтверждено решением уполномоченного органа, принятие которого допускается как в электронной форме, так и на бумажном носителе.</w:t>
      </w:r>
    </w:p>
    <w:p w:rsidR="00281A91" w:rsidRPr="00281A91" w:rsidRDefault="00281A91" w:rsidP="00281A91">
      <w:pPr>
        <w:pStyle w:val="ab"/>
        <w:ind w:firstLine="709"/>
        <w:jc w:val="both"/>
        <w:rPr>
          <w:szCs w:val="28"/>
        </w:rPr>
      </w:pPr>
      <w:r w:rsidRPr="00281A91">
        <w:rPr>
          <w:szCs w:val="28"/>
        </w:rPr>
        <w:t>Не менее активно обсудили и вопрос о внесении в ЕГРН сведений о границах. Представители муниципальных районов Курской области, а также исполнители кадастровых работ выступили с отчетом о проделанной работе в данном направлении, озвучили имеющиеся проблемы, а также предполагаемы</w:t>
      </w:r>
      <w:r w:rsidR="00A81BA2">
        <w:rPr>
          <w:szCs w:val="28"/>
        </w:rPr>
        <w:t>е</w:t>
      </w:r>
      <w:r w:rsidRPr="00281A91">
        <w:rPr>
          <w:szCs w:val="28"/>
        </w:rPr>
        <w:t xml:space="preserve"> сроки по реализации поставленных целей по внесению границ.</w:t>
      </w:r>
    </w:p>
    <w:p w:rsidR="00281A91" w:rsidRPr="00281A91" w:rsidRDefault="00281A91" w:rsidP="00281A91">
      <w:pPr>
        <w:pStyle w:val="ab"/>
        <w:ind w:firstLine="709"/>
        <w:jc w:val="both"/>
        <w:rPr>
          <w:szCs w:val="28"/>
        </w:rPr>
      </w:pPr>
      <w:r w:rsidRPr="00281A91">
        <w:rPr>
          <w:szCs w:val="28"/>
        </w:rPr>
        <w:t xml:space="preserve"> </w:t>
      </w:r>
      <w:proofErr w:type="gramStart"/>
      <w:r w:rsidRPr="00281A91">
        <w:rPr>
          <w:szCs w:val="28"/>
        </w:rPr>
        <w:t>Рассматриваемые на данном совещании вопросы являются достаточно актуальными для нашего региона, так как оказывают прямое влияние на инвестиционную привлекательность Курской области, в том числе на достижение целевых значений по показателям целевых моделей</w:t>
      </w:r>
      <w:r w:rsidRPr="00281A91">
        <w:rPr>
          <w:color w:val="1F497D"/>
          <w:szCs w:val="28"/>
        </w:rPr>
        <w:t xml:space="preserve"> </w:t>
      </w:r>
      <w:r w:rsidRPr="00281A91">
        <w:rPr>
          <w:szCs w:val="28"/>
        </w:rPr>
        <w:t>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утвержденных распоряжением Правительства Российской Федерации от 31.01.2017</w:t>
      </w:r>
      <w:proofErr w:type="gramEnd"/>
      <w:r w:rsidRPr="00281A91">
        <w:rPr>
          <w:szCs w:val="28"/>
        </w:rPr>
        <w:t xml:space="preserve"> № 147-р.</w:t>
      </w:r>
    </w:p>
    <w:p w:rsidR="00281A91" w:rsidRPr="00281A91" w:rsidRDefault="00281A91" w:rsidP="00281A91">
      <w:pPr>
        <w:pStyle w:val="ab"/>
        <w:ind w:firstLine="709"/>
        <w:jc w:val="both"/>
        <w:rPr>
          <w:szCs w:val="28"/>
        </w:rPr>
      </w:pPr>
    </w:p>
    <w:p w:rsidR="00A703F8" w:rsidRPr="00281A91" w:rsidRDefault="00977581" w:rsidP="00281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81" w:rsidRPr="00281A91" w:rsidRDefault="00977581" w:rsidP="0028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68" w:rsidRPr="00281A91" w:rsidRDefault="00416B68" w:rsidP="0028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B68" w:rsidRPr="00281A91" w:rsidRDefault="00416B68" w:rsidP="0028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A91" w:rsidRDefault="00281A91" w:rsidP="00281A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A91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DF7775" w:rsidRPr="00281A91">
        <w:rPr>
          <w:rFonts w:ascii="Times New Roman" w:hAnsi="Times New Roman" w:cs="Times New Roman"/>
          <w:sz w:val="28"/>
          <w:szCs w:val="28"/>
        </w:rPr>
        <w:t xml:space="preserve"> отдела организации, </w:t>
      </w:r>
    </w:p>
    <w:p w:rsidR="00DF7775" w:rsidRPr="00281A91" w:rsidRDefault="00DF7775" w:rsidP="00281A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A91">
        <w:rPr>
          <w:rFonts w:ascii="Times New Roman" w:hAnsi="Times New Roman" w:cs="Times New Roman"/>
          <w:sz w:val="28"/>
          <w:szCs w:val="28"/>
        </w:rPr>
        <w:t xml:space="preserve">мониторинга и контроля   </w:t>
      </w:r>
    </w:p>
    <w:p w:rsidR="00416B68" w:rsidRPr="00281A91" w:rsidRDefault="00416B68" w:rsidP="00281A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A91">
        <w:rPr>
          <w:rFonts w:ascii="Times New Roman" w:hAnsi="Times New Roman" w:cs="Times New Roman"/>
          <w:sz w:val="28"/>
          <w:szCs w:val="28"/>
        </w:rPr>
        <w:t>Управления Росреестра по Курской области</w:t>
      </w:r>
    </w:p>
    <w:p w:rsidR="00416B68" w:rsidRPr="00281A91" w:rsidRDefault="00281A91" w:rsidP="00281A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A91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AF12E2" w:rsidRPr="00343D9B" w:rsidRDefault="00AF12E2" w:rsidP="00416B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12E2" w:rsidRPr="00343D9B" w:rsidSect="00416B68">
      <w:pgSz w:w="11905" w:h="16838"/>
      <w:pgMar w:top="851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D4F"/>
    <w:multiLevelType w:val="hybridMultilevel"/>
    <w:tmpl w:val="8EE0A39A"/>
    <w:lvl w:ilvl="0" w:tplc="C116E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82A06"/>
    <w:multiLevelType w:val="multilevel"/>
    <w:tmpl w:val="AF1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D4F0E"/>
    <w:multiLevelType w:val="hybridMultilevel"/>
    <w:tmpl w:val="1BB68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92A"/>
    <w:rsid w:val="000241D5"/>
    <w:rsid w:val="00036421"/>
    <w:rsid w:val="000B654A"/>
    <w:rsid w:val="000E365F"/>
    <w:rsid w:val="00123C31"/>
    <w:rsid w:val="001647E9"/>
    <w:rsid w:val="00206BD7"/>
    <w:rsid w:val="00253961"/>
    <w:rsid w:val="00281A91"/>
    <w:rsid w:val="00296B98"/>
    <w:rsid w:val="002A0D4E"/>
    <w:rsid w:val="00343D9B"/>
    <w:rsid w:val="00377D82"/>
    <w:rsid w:val="00416B68"/>
    <w:rsid w:val="0043179D"/>
    <w:rsid w:val="004E1281"/>
    <w:rsid w:val="00541489"/>
    <w:rsid w:val="00567817"/>
    <w:rsid w:val="005C102C"/>
    <w:rsid w:val="00662A2E"/>
    <w:rsid w:val="00686616"/>
    <w:rsid w:val="008918E4"/>
    <w:rsid w:val="008978B2"/>
    <w:rsid w:val="00897CBA"/>
    <w:rsid w:val="008B1436"/>
    <w:rsid w:val="009043EA"/>
    <w:rsid w:val="00977581"/>
    <w:rsid w:val="009B5548"/>
    <w:rsid w:val="009E7D3E"/>
    <w:rsid w:val="00A703F8"/>
    <w:rsid w:val="00A81BA2"/>
    <w:rsid w:val="00A83A4E"/>
    <w:rsid w:val="00AF12E2"/>
    <w:rsid w:val="00B334A7"/>
    <w:rsid w:val="00B60B9D"/>
    <w:rsid w:val="00B9707B"/>
    <w:rsid w:val="00BA092A"/>
    <w:rsid w:val="00C42AC2"/>
    <w:rsid w:val="00D36DC6"/>
    <w:rsid w:val="00DE50F2"/>
    <w:rsid w:val="00DF7775"/>
    <w:rsid w:val="00E0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96B98"/>
    <w:rPr>
      <w:b/>
      <w:bCs/>
    </w:rPr>
  </w:style>
  <w:style w:type="paragraph" w:styleId="aa">
    <w:name w:val="List Paragraph"/>
    <w:basedOn w:val="a"/>
    <w:uiPriority w:val="34"/>
    <w:qFormat/>
    <w:rsid w:val="00296B98"/>
    <w:pPr>
      <w:ind w:left="720"/>
      <w:contextualSpacing/>
    </w:pPr>
  </w:style>
  <w:style w:type="character" w:customStyle="1" w:styleId="fontstyle21">
    <w:name w:val="fontstyle21"/>
    <w:basedOn w:val="a0"/>
    <w:rsid w:val="00416B6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Body Text"/>
    <w:basedOn w:val="a"/>
    <w:link w:val="ac"/>
    <w:unhideWhenUsed/>
    <w:rsid w:val="00DF77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F77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FD3C09779567C1B6C6BB1E0D84BBE72D3E507140C51954DA18B3A009E7074931837F6404DB0D86A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FD3C09779567C1B6C6BB1E0D84BBE71DBE4001F0F51954DA18B3A009E7074931837F649456BL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16</cp:revision>
  <cp:lastPrinted>2018-06-07T12:28:00Z</cp:lastPrinted>
  <dcterms:created xsi:type="dcterms:W3CDTF">2017-04-06T16:23:00Z</dcterms:created>
  <dcterms:modified xsi:type="dcterms:W3CDTF">2018-06-07T12:30:00Z</dcterms:modified>
</cp:coreProperties>
</file>